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rPr>
          <w:rFonts w:eastAsia="宋体"/>
          <w:sz w:val="22"/>
          <w:szCs w:val="22"/>
          <w:lang w:eastAsia="zh-CN"/>
        </w:rPr>
      </w:pPr>
      <w:r>
        <w:rPr>
          <w:sz w:val="22"/>
          <w:szCs w:val="22"/>
        </w:rPr>
        <w:t>3GPP TSG RAN WG1</w:t>
      </w:r>
      <w:r>
        <w:rPr>
          <w:rFonts w:hint="eastAsia" w:asciiTheme="minorEastAsia" w:hAnsiTheme="minorEastAsia" w:eastAsiaTheme="minorEastAsia"/>
          <w:sz w:val="22"/>
          <w:szCs w:val="22"/>
          <w:lang w:eastAsia="zh-CN"/>
        </w:rPr>
        <w:t xml:space="preserve"> </w:t>
      </w:r>
      <w:r>
        <w:rPr>
          <w:sz w:val="22"/>
          <w:szCs w:val="22"/>
        </w:rPr>
        <w:t>Meeting #10</w:t>
      </w:r>
      <w:r>
        <w:rPr>
          <w:rFonts w:hint="eastAsia" w:eastAsia="宋体"/>
          <w:sz w:val="22"/>
          <w:szCs w:val="22"/>
          <w:lang w:eastAsia="zh-CN"/>
        </w:rPr>
        <w:t>9</w:t>
      </w:r>
      <w:r>
        <w:rPr>
          <w:sz w:val="22"/>
          <w:szCs w:val="22"/>
        </w:rPr>
        <w:t xml:space="preserve">-e        </w:t>
      </w:r>
      <w:r>
        <w:rPr>
          <w:rFonts w:hint="eastAsia"/>
          <w:sz w:val="22"/>
          <w:szCs w:val="22"/>
        </w:rPr>
        <w:t xml:space="preserve">                              </w:t>
      </w:r>
      <w:r>
        <w:rPr>
          <w:sz w:val="22"/>
          <w:szCs w:val="22"/>
        </w:rPr>
        <w:t xml:space="preserve">                 </w:t>
      </w:r>
      <w:r>
        <w:rPr>
          <w:rFonts w:hint="eastAsia"/>
          <w:sz w:val="22"/>
          <w:szCs w:val="22"/>
        </w:rPr>
        <w:t xml:space="preserve">             </w:t>
      </w:r>
      <w:r>
        <w:rPr>
          <w:rFonts w:hint="eastAsia" w:eastAsia="宋体"/>
          <w:sz w:val="22"/>
          <w:szCs w:val="22"/>
          <w:lang w:eastAsia="zh-CN"/>
        </w:rPr>
        <w:t xml:space="preserve"> </w:t>
      </w:r>
      <w:r>
        <w:rPr>
          <w:sz w:val="22"/>
          <w:szCs w:val="22"/>
        </w:rPr>
        <w:t>R1-</w:t>
      </w:r>
      <w:r>
        <w:rPr>
          <w:rFonts w:hint="eastAsia" w:eastAsia="宋体"/>
          <w:sz w:val="22"/>
          <w:szCs w:val="22"/>
          <w:lang w:eastAsia="zh-CN"/>
        </w:rPr>
        <w:t>2203251</w:t>
      </w:r>
    </w:p>
    <w:p>
      <w:pPr>
        <w:snapToGrid w:val="0"/>
        <w:spacing w:line="240" w:lineRule="auto"/>
        <w:rPr>
          <w:rFonts w:ascii="Arial" w:hAnsi="Arial"/>
          <w:b/>
        </w:rPr>
      </w:pPr>
      <w:r>
        <w:rPr>
          <w:rFonts w:hint="eastAsia" w:ascii="Arial" w:hAnsi="Arial"/>
          <w:b/>
        </w:rPr>
        <w:t>e</w:t>
      </w:r>
      <w:r>
        <w:rPr>
          <w:rFonts w:ascii="Arial" w:hAnsi="Arial"/>
          <w:b/>
        </w:rPr>
        <w:t>-Meeting</w:t>
      </w:r>
      <w:r>
        <w:rPr>
          <w:rFonts w:ascii="Arial" w:hAnsi="Arial"/>
          <w:b/>
          <w:lang w:eastAsia="ja-JP"/>
        </w:rPr>
        <w:t>,</w:t>
      </w:r>
      <w:r>
        <w:rPr>
          <w:rFonts w:hint="eastAsia" w:ascii="Arial" w:hAnsi="Arial"/>
          <w:b/>
          <w:lang w:eastAsia="ja-JP"/>
        </w:rPr>
        <w:t xml:space="preserve"> </w:t>
      </w:r>
      <w:r>
        <w:rPr>
          <w:rFonts w:hint="eastAsia" w:ascii="Arial" w:hAnsi="Arial"/>
          <w:b/>
        </w:rPr>
        <w:t>May</w:t>
      </w:r>
      <w:r>
        <w:rPr>
          <w:rFonts w:ascii="Arial" w:hAnsi="Arial"/>
          <w:b/>
          <w:lang w:eastAsia="ja-JP"/>
        </w:rPr>
        <w:t xml:space="preserve"> </w:t>
      </w:r>
      <w:r>
        <w:rPr>
          <w:rFonts w:hint="eastAsia" w:ascii="Arial" w:hAnsi="Arial"/>
          <w:b/>
        </w:rPr>
        <w:t>9</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20</w:t>
      </w:r>
      <w:r>
        <w:rPr>
          <w:rFonts w:hint="eastAsia" w:ascii="Arial" w:hAnsi="Arial"/>
          <w:b/>
          <w:vertAlign w:val="superscript"/>
        </w:rPr>
        <w:t>th</w:t>
      </w:r>
      <w:r>
        <w:rPr>
          <w:rFonts w:hint="eastAsia" w:ascii="Arial" w:hAnsi="Arial"/>
          <w:b/>
          <w:lang w:eastAsia="ja-JP"/>
        </w:rPr>
        <w:t>, 20</w:t>
      </w:r>
      <w:r>
        <w:rPr>
          <w:rFonts w:ascii="Arial" w:hAnsi="Arial"/>
          <w:b/>
          <w:lang w:eastAsia="ja-JP"/>
        </w:rPr>
        <w:t>2</w:t>
      </w:r>
      <w:r>
        <w:rPr>
          <w:rFonts w:hint="eastAsia" w:ascii="Arial" w:hAnsi="Arial"/>
          <w:b/>
        </w:rPr>
        <w:t>2</w:t>
      </w:r>
    </w:p>
    <w:p>
      <w:pPr>
        <w:snapToGrid w:val="0"/>
        <w:spacing w:after="0" w:line="240" w:lineRule="auto"/>
        <w:rPr>
          <w:rFonts w:ascii="Arial" w:hAnsi="Arial"/>
          <w:b/>
        </w:rPr>
      </w:pPr>
      <w:r>
        <w:rPr>
          <w:rFonts w:hint="eastAsia" w:ascii="Arial" w:hAnsi="Arial" w:eastAsia="MS Mincho"/>
          <w:b/>
          <w:lang w:eastAsia="ja-JP"/>
        </w:rPr>
        <w:t>Source:</w:t>
      </w:r>
      <w:r>
        <w:rPr>
          <w:rFonts w:hint="eastAsia"/>
        </w:rPr>
        <w:t xml:space="preserve">      </w:t>
      </w:r>
      <w:r>
        <w:rPr>
          <w:rFonts w:hint="eastAsia"/>
          <w:lang w:val="en-US" w:eastAsia="zh-CN"/>
        </w:rPr>
        <w:t xml:space="preserve">            </w:t>
      </w:r>
      <w:r>
        <w:rPr>
          <w:rFonts w:hint="eastAsia" w:ascii="Arial" w:hAnsi="Arial" w:eastAsia="MS Mincho"/>
          <w:b/>
          <w:lang w:eastAsia="ja-JP"/>
        </w:rPr>
        <w:t>ZTE</w:t>
      </w:r>
      <w:r>
        <w:rPr>
          <w:rFonts w:hint="eastAsia" w:ascii="Arial" w:hAnsi="Arial"/>
          <w:b/>
        </w:rPr>
        <w:t xml:space="preserve"> Corporation</w:t>
      </w:r>
    </w:p>
    <w:p>
      <w:pPr>
        <w:pStyle w:val="18"/>
        <w:tabs>
          <w:tab w:val="clear" w:pos="4536"/>
        </w:tabs>
        <w:snapToGrid w:val="0"/>
        <w:ind w:left="1988" w:hanging="1988" w:hangingChars="900"/>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eastAsia="宋体"/>
          <w:sz w:val="22"/>
          <w:szCs w:val="22"/>
          <w:lang w:val="en-US" w:eastAsia="zh-CN"/>
        </w:rPr>
        <w:t xml:space="preserve">           </w:t>
      </w:r>
      <w:r>
        <w:rPr>
          <w:rFonts w:hint="eastAsia" w:eastAsia="宋体"/>
          <w:sz w:val="22"/>
          <w:szCs w:val="22"/>
          <w:lang w:eastAsia="zh-CN"/>
        </w:rPr>
        <w:t>Discussion on potential enhancements for AI/ML based beam</w:t>
      </w:r>
      <w:r>
        <w:rPr>
          <w:rFonts w:hint="eastAsia" w:eastAsia="宋体"/>
          <w:sz w:val="22"/>
          <w:szCs w:val="22"/>
          <w:lang w:val="en-US" w:eastAsia="zh-CN"/>
        </w:rPr>
        <w:t xml:space="preserve"> </w:t>
      </w:r>
      <w:bookmarkStart w:id="3" w:name="_GoBack"/>
      <w:bookmarkEnd w:id="3"/>
      <w:r>
        <w:rPr>
          <w:rFonts w:hint="eastAsia" w:eastAsia="宋体"/>
          <w:sz w:val="22"/>
          <w:szCs w:val="22"/>
          <w:lang w:eastAsia="zh-CN"/>
        </w:rPr>
        <w:t>management</w:t>
      </w:r>
    </w:p>
    <w:p>
      <w:pPr>
        <w:pStyle w:val="18"/>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9.2.3.2</w:t>
      </w:r>
    </w:p>
    <w:p>
      <w:pPr>
        <w:pStyle w:val="18"/>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b/>
          <w:sz w:val="28"/>
          <w:szCs w:val="28"/>
        </w:rPr>
        <w:t>Introduction</w:t>
      </w:r>
    </w:p>
    <w:p>
      <w:pPr>
        <w:snapToGrid w:val="0"/>
        <w:spacing w:before="72" w:beforeLines="30" w:after="72" w:afterLines="30" w:line="288" w:lineRule="auto"/>
        <w:jc w:val="both"/>
        <w:rPr>
          <w:rFonts w:eastAsia="微软雅黑"/>
          <w:sz w:val="20"/>
          <w:szCs w:val="20"/>
        </w:rPr>
      </w:pPr>
      <w:r>
        <w:rPr>
          <w:rFonts w:hint="eastAsia" w:eastAsia="微软雅黑"/>
          <w:sz w:val="20"/>
          <w:szCs w:val="20"/>
        </w:rPr>
        <w:t>In RAN#94-e,  an AI/M</w:t>
      </w:r>
      <w:r>
        <w:rPr>
          <w:rFonts w:eastAsia="微软雅黑"/>
          <w:sz w:val="20"/>
          <w:szCs w:val="20"/>
        </w:rPr>
        <w:t>L</w:t>
      </w:r>
      <w:r>
        <w:rPr>
          <w:rFonts w:hint="eastAsia" w:eastAsia="微软雅黑"/>
          <w:sz w:val="20"/>
          <w:szCs w:val="20"/>
        </w:rPr>
        <w:t xml:space="preserve"> SI [1] was approved, and some objectives are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7" w:hRule="atLeast"/>
        </w:trPr>
        <w:tc>
          <w:tcPr>
            <w:tcW w:w="9576" w:type="dxa"/>
          </w:tcPr>
          <w:p>
            <w:pPr>
              <w:spacing w:after="0"/>
              <w:rPr>
                <w:bCs/>
                <w:sz w:val="20"/>
                <w:szCs w:val="20"/>
              </w:rPr>
            </w:pPr>
            <w:r>
              <w:rPr>
                <w:rFonts w:hint="eastAsia"/>
                <w:bCs/>
                <w:sz w:val="20"/>
                <w:szCs w:val="20"/>
              </w:rPr>
              <w:t>...</w:t>
            </w:r>
          </w:p>
          <w:p>
            <w:pPr>
              <w:spacing w:after="0"/>
              <w:rPr>
                <w:bCs/>
                <w:sz w:val="20"/>
                <w:szCs w:val="20"/>
              </w:rPr>
            </w:pPr>
            <w:r>
              <w:rPr>
                <w:bCs/>
                <w:sz w:val="20"/>
                <w:szCs w:val="20"/>
              </w:rPr>
              <w:t xml:space="preserve">Use cases to focus on: </w:t>
            </w:r>
          </w:p>
          <w:p>
            <w:pPr>
              <w:numPr>
                <w:ilvl w:val="0"/>
                <w:numId w:val="6"/>
              </w:numPr>
              <w:spacing w:after="0"/>
              <w:rPr>
                <w:bCs/>
                <w:sz w:val="20"/>
                <w:szCs w:val="20"/>
              </w:rPr>
            </w:pPr>
            <w:r>
              <w:rPr>
                <w:bCs/>
                <w:sz w:val="20"/>
                <w:szCs w:val="20"/>
              </w:rPr>
              <w:t xml:space="preserve">Initial set of use cases includes: </w:t>
            </w:r>
          </w:p>
          <w:p>
            <w:pPr>
              <w:numPr>
                <w:ilvl w:val="1"/>
                <w:numId w:val="6"/>
              </w:numPr>
              <w:overflowPunct w:val="0"/>
              <w:autoSpaceDE w:val="0"/>
              <w:autoSpaceDN w:val="0"/>
              <w:adjustRightInd w:val="0"/>
              <w:spacing w:after="0" w:line="240" w:lineRule="auto"/>
              <w:textAlignment w:val="baseline"/>
              <w:rPr>
                <w:rFonts w:eastAsia="Times New Roman"/>
                <w:bCs/>
                <w:sz w:val="20"/>
                <w:szCs w:val="20"/>
                <w:lang w:val="en-GB" w:eastAsia="en-GB"/>
              </w:rPr>
            </w:pPr>
            <w:r>
              <w:rPr>
                <w:rFonts w:eastAsia="Times New Roman"/>
                <w:bCs/>
                <w:sz w:val="20"/>
                <w:szCs w:val="20"/>
                <w:lang w:val="en-GB" w:eastAsia="en-GB"/>
              </w:rPr>
              <w:t xml:space="preserve">Beam management, e.g., </w:t>
            </w:r>
            <w:r>
              <w:rPr>
                <w:rFonts w:eastAsia="Times New Roman"/>
                <w:sz w:val="20"/>
                <w:szCs w:val="20"/>
                <w:lang w:val="en-GB" w:eastAsia="en-GB"/>
              </w:rPr>
              <w:t>beam prediction in time,</w:t>
            </w:r>
            <w:r>
              <w:rPr>
                <w:rFonts w:eastAsia="Times New Roman"/>
                <w:sz w:val="20"/>
                <w:szCs w:val="20"/>
                <w:shd w:val="clear" w:color="auto" w:fill="FFFFFF"/>
                <w:lang w:val="en-GB" w:eastAsia="en-GB"/>
              </w:rPr>
              <w:t> and/or </w:t>
            </w:r>
            <w:r>
              <w:rPr>
                <w:rFonts w:eastAsia="Times New Roman"/>
                <w:sz w:val="20"/>
                <w:szCs w:val="20"/>
                <w:lang w:val="en-GB" w:eastAsia="en-GB"/>
              </w:rPr>
              <w:t>spatial domain</w:t>
            </w:r>
            <w:r>
              <w:rPr>
                <w:rFonts w:eastAsia="Times New Roman"/>
                <w:sz w:val="20"/>
                <w:szCs w:val="20"/>
                <w:shd w:val="clear" w:color="auto" w:fill="FFFFFF"/>
                <w:lang w:val="en-GB" w:eastAsia="en-GB"/>
              </w:rPr>
              <w:t> for overhead and latency reduction, beam selection accuracy improvement [RAN1]</w:t>
            </w:r>
          </w:p>
          <w:p>
            <w:pPr>
              <w:snapToGrid w:val="0"/>
              <w:spacing w:before="120" w:after="120" w:afterLines="50" w:line="240" w:lineRule="auto"/>
              <w:jc w:val="both"/>
              <w:rPr>
                <w:bCs/>
                <w:sz w:val="20"/>
                <w:szCs w:val="20"/>
              </w:rPr>
            </w:pPr>
            <w:r>
              <w:rPr>
                <w:rFonts w:hint="eastAsia"/>
                <w:bCs/>
                <w:sz w:val="20"/>
                <w:szCs w:val="20"/>
              </w:rPr>
              <w:t>...</w:t>
            </w:r>
          </w:p>
          <w:p>
            <w:pPr>
              <w:spacing w:after="0"/>
              <w:rPr>
                <w:bCs/>
                <w:sz w:val="20"/>
                <w:szCs w:val="20"/>
              </w:rPr>
            </w:pPr>
            <w:r>
              <w:rPr>
                <w:bCs/>
                <w:sz w:val="20"/>
                <w:szCs w:val="20"/>
              </w:rPr>
              <w:t>For the use cases under consideration:</w:t>
            </w:r>
          </w:p>
          <w:p>
            <w:pPr>
              <w:snapToGrid w:val="0"/>
              <w:spacing w:before="120" w:after="120" w:afterLines="50" w:line="240" w:lineRule="auto"/>
              <w:jc w:val="both"/>
              <w:rPr>
                <w:bCs/>
                <w:sz w:val="20"/>
                <w:szCs w:val="20"/>
              </w:rPr>
            </w:pPr>
            <w:r>
              <w:rPr>
                <w:rFonts w:hint="eastAsia"/>
                <w:bCs/>
                <w:sz w:val="20"/>
                <w:szCs w:val="20"/>
              </w:rPr>
              <w:t>...</w:t>
            </w:r>
          </w:p>
          <w:p>
            <w:pPr>
              <w:numPr>
                <w:ilvl w:val="0"/>
                <w:numId w:val="7"/>
              </w:numPr>
              <w:spacing w:after="0"/>
              <w:rPr>
                <w:bCs/>
                <w:sz w:val="20"/>
                <w:szCs w:val="20"/>
              </w:rPr>
            </w:pPr>
            <w:r>
              <w:rPr>
                <w:bCs/>
                <w:sz w:val="20"/>
                <w:szCs w:val="20"/>
              </w:rPr>
              <w:t>Assess potential specification impact, specifically for the agreed use cases in the final representative set and for a common framework:</w:t>
            </w:r>
          </w:p>
          <w:p>
            <w:pPr>
              <w:numPr>
                <w:ilvl w:val="1"/>
                <w:numId w:val="6"/>
              </w:numPr>
              <w:spacing w:after="0"/>
              <w:rPr>
                <w:bCs/>
                <w:sz w:val="20"/>
                <w:szCs w:val="20"/>
              </w:rPr>
            </w:pPr>
            <w:r>
              <w:rPr>
                <w:bCs/>
                <w:sz w:val="20"/>
                <w:szCs w:val="20"/>
              </w:rPr>
              <w:t>PHY layer aspects, e.g., (RAN1)</w:t>
            </w:r>
          </w:p>
          <w:p>
            <w:pPr>
              <w:numPr>
                <w:ilvl w:val="2"/>
                <w:numId w:val="6"/>
              </w:numPr>
              <w:spacing w:after="0"/>
              <w:rPr>
                <w:bCs/>
                <w:sz w:val="20"/>
                <w:szCs w:val="20"/>
              </w:rPr>
            </w:pPr>
            <w:r>
              <w:rPr>
                <w:bCs/>
                <w:sz w:val="20"/>
                <w:szCs w:val="20"/>
              </w:rPr>
              <w:t>Consider aspects related to, e.g., the potential specification of the AI Model lifecycle management, and dataset construction for training, validation and test for the selected use cases</w:t>
            </w:r>
          </w:p>
          <w:p>
            <w:pPr>
              <w:numPr>
                <w:ilvl w:val="2"/>
                <w:numId w:val="6"/>
              </w:numPr>
              <w:spacing w:after="0"/>
              <w:rPr>
                <w:bCs/>
                <w:sz w:val="20"/>
                <w:szCs w:val="20"/>
              </w:rPr>
            </w:pPr>
            <w:r>
              <w:rPr>
                <w:bCs/>
                <w:sz w:val="20"/>
                <w:szCs w:val="20"/>
              </w:rPr>
              <w:t>Use case and collaboration level specific specification impact, such as new signalling, means for training and validation data assistance, assistance information, measurement, and feedback</w:t>
            </w:r>
          </w:p>
          <w:p>
            <w:pPr>
              <w:numPr>
                <w:ilvl w:val="1"/>
                <w:numId w:val="6"/>
              </w:numPr>
              <w:spacing w:after="0"/>
              <w:rPr>
                <w:bCs/>
                <w:sz w:val="20"/>
                <w:szCs w:val="20"/>
              </w:rPr>
            </w:pPr>
            <w:r>
              <w:rPr>
                <w:bCs/>
                <w:sz w:val="20"/>
                <w:szCs w:val="20"/>
              </w:rPr>
              <w:t xml:space="preserve">Protocol aspects, e.g., (RAN2) - RAN2 only starts the work after there is sufficient progress on the use case study in RAN1 </w:t>
            </w:r>
          </w:p>
          <w:p>
            <w:pPr>
              <w:numPr>
                <w:ilvl w:val="2"/>
                <w:numId w:val="6"/>
              </w:numPr>
              <w:spacing w:after="0"/>
              <w:rPr>
                <w:bCs/>
                <w:sz w:val="20"/>
                <w:szCs w:val="20"/>
              </w:rPr>
            </w:pPr>
            <w:r>
              <w:rPr>
                <w:bCs/>
                <w:sz w:val="20"/>
                <w:szCs w:val="20"/>
              </w:rPr>
              <w:t xml:space="preserve"> Consider aspects related to, e.g., capability indication, configuration and control procedures (training/inference),  and management of data and AI/ML model, per RAN1 input </w:t>
            </w:r>
          </w:p>
          <w:p>
            <w:pPr>
              <w:numPr>
                <w:ilvl w:val="2"/>
                <w:numId w:val="6"/>
              </w:numPr>
              <w:spacing w:after="0"/>
              <w:rPr>
                <w:bCs/>
                <w:sz w:val="20"/>
                <w:szCs w:val="20"/>
              </w:rPr>
            </w:pPr>
            <w:r>
              <w:rPr>
                <w:sz w:val="20"/>
                <w:szCs w:val="20"/>
              </w:rPr>
              <w:t xml:space="preserve">Collaboration level specific specification impact per use case </w:t>
            </w:r>
          </w:p>
          <w:p>
            <w:pPr>
              <w:numPr>
                <w:ilvl w:val="1"/>
                <w:numId w:val="6"/>
              </w:numPr>
              <w:spacing w:after="0"/>
              <w:rPr>
                <w:bCs/>
                <w:sz w:val="20"/>
                <w:szCs w:val="20"/>
              </w:rPr>
            </w:pPr>
            <w:r>
              <w:rPr>
                <w:bCs/>
                <w:sz w:val="20"/>
                <w:szCs w:val="20"/>
              </w:rPr>
              <w:t>Interoperability and testability aspects, e.g., (RAN4) - RAN4 only starts the work after there is sufficient progress on use case study in RAN1 and RAN2</w:t>
            </w:r>
          </w:p>
          <w:p>
            <w:pPr>
              <w:numPr>
                <w:ilvl w:val="2"/>
                <w:numId w:val="6"/>
              </w:numPr>
              <w:spacing w:after="0"/>
              <w:rPr>
                <w:bCs/>
                <w:sz w:val="20"/>
                <w:szCs w:val="20"/>
              </w:rPr>
            </w:pPr>
            <w:r>
              <w:rPr>
                <w:bCs/>
                <w:sz w:val="20"/>
                <w:szCs w:val="20"/>
              </w:rPr>
              <w:t>Requirements and testing frameworks to validate AI/ML based performance enhancements and ensuring that UE and gNB with AI/ML meet or exceed the existing minimum requirements if applicable</w:t>
            </w:r>
          </w:p>
          <w:p>
            <w:pPr>
              <w:numPr>
                <w:ilvl w:val="2"/>
                <w:numId w:val="6"/>
              </w:numPr>
              <w:spacing w:after="0"/>
              <w:rPr>
                <w:bCs/>
                <w:sz w:val="20"/>
                <w:szCs w:val="20"/>
              </w:rPr>
            </w:pPr>
            <w:r>
              <w:rPr>
                <w:bCs/>
                <w:sz w:val="20"/>
                <w:szCs w:val="20"/>
              </w:rPr>
              <w:t>Consider the need and implications for AI/ML processing capabilities definition</w:t>
            </w:r>
          </w:p>
        </w:tc>
      </w:tr>
    </w:tbl>
    <w:p>
      <w:pPr>
        <w:snapToGrid w:val="0"/>
        <w:spacing w:before="72" w:beforeLines="30" w:after="72" w:afterLines="30" w:line="288" w:lineRule="auto"/>
        <w:jc w:val="both"/>
        <w:rPr>
          <w:rFonts w:eastAsia="微软雅黑"/>
          <w:sz w:val="20"/>
          <w:szCs w:val="20"/>
        </w:rPr>
      </w:pPr>
      <w:r>
        <w:rPr>
          <w:rFonts w:hint="eastAsia" w:eastAsia="微软雅黑"/>
          <w:sz w:val="20"/>
          <w:szCs w:val="20"/>
        </w:rPr>
        <w:t>In this contribution, we</w:t>
      </w:r>
      <w:r>
        <w:rPr>
          <w:rFonts w:eastAsia="微软雅黑"/>
          <w:sz w:val="20"/>
          <w:szCs w:val="20"/>
        </w:rPr>
        <w:t>’</w:t>
      </w:r>
      <w:r>
        <w:rPr>
          <w:rFonts w:hint="eastAsia" w:eastAsia="微软雅黑"/>
          <w:sz w:val="20"/>
          <w:szCs w:val="20"/>
        </w:rPr>
        <w:t>ll discuss the specification impacts and potential enhancements for AI/ML based beam management.</w:t>
      </w:r>
    </w:p>
    <w:p>
      <w:pPr>
        <w:snapToGrid w:val="0"/>
        <w:spacing w:before="120" w:after="120" w:afterLines="50" w:line="240" w:lineRule="auto"/>
        <w:jc w:val="both"/>
        <w:rPr>
          <w:rFonts w:eastAsia="微软雅黑"/>
          <w:sz w:val="20"/>
          <w:szCs w:val="20"/>
          <w:lang w:val="en-GB"/>
        </w:rPr>
      </w:pPr>
      <w:r>
        <w:rPr>
          <w:rFonts w:eastAsia="微软雅黑"/>
          <w:sz w:val="20"/>
          <w:szCs w:val="20"/>
          <w:lang w:val="en-GB"/>
        </w:rPr>
        <w:t xml:space="preserve"> </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 xml:space="preserve">AI/ML based beam management </w:t>
      </w:r>
    </w:p>
    <w:p>
      <w:pPr>
        <w:spacing w:before="72" w:beforeLines="30" w:after="72" w:afterLines="30" w:line="288" w:lineRule="auto"/>
        <w:jc w:val="both"/>
        <w:rPr>
          <w:rFonts w:eastAsia="Times New Roman"/>
          <w:sz w:val="20"/>
          <w:szCs w:val="20"/>
        </w:rPr>
      </w:pPr>
      <w:r>
        <w:rPr>
          <w:rFonts w:eastAsia="Times New Roman"/>
          <w:sz w:val="20"/>
          <w:szCs w:val="20"/>
        </w:rPr>
        <w:t>M</w:t>
      </w:r>
      <w:r>
        <w:rPr>
          <w:rFonts w:hint="eastAsia" w:eastAsia="Times New Roman"/>
          <w:sz w:val="20"/>
          <w:szCs w:val="20"/>
        </w:rPr>
        <w:t xml:space="preserve">illimeter-wave links suffer substantial propagation loss in free space owing to their short wavelengths. Therefore, in millimeter-wave communication systems, large-scale antenna arrays are commonly used to form well-shaped beams with large gains to compensate for transmission loss and ensure system coverage. In addition, both users and base stations need to adjust their beams and achieve precise alignment during initial access and data transmission to ensure maximum gain. </w:t>
      </w:r>
      <w:r>
        <w:rPr>
          <w:rFonts w:eastAsia="Times New Roman"/>
          <w:sz w:val="20"/>
          <w:szCs w:val="20"/>
        </w:rPr>
        <w:t xml:space="preserve">In previous NR releases, </w:t>
      </w:r>
      <w:r>
        <w:rPr>
          <w:rFonts w:hint="eastAsia" w:eastAsia="Times New Roman"/>
          <w:sz w:val="20"/>
          <w:szCs w:val="20"/>
        </w:rPr>
        <w:t>a complete set of beam management procedures</w:t>
      </w:r>
      <w:r>
        <w:rPr>
          <w:rFonts w:eastAsia="Times New Roman"/>
          <w:sz w:val="20"/>
          <w:szCs w:val="20"/>
        </w:rPr>
        <w:t xml:space="preserve"> has been developed</w:t>
      </w:r>
      <w:r>
        <w:rPr>
          <w:rFonts w:hint="eastAsia" w:eastAsia="Times New Roman"/>
          <w:sz w:val="20"/>
          <w:szCs w:val="20"/>
        </w:rPr>
        <w:t xml:space="preserve"> to maintain a suitable transceiver beam pair, including beam training, beam measurement, beam reporting, and beam indication.</w:t>
      </w:r>
    </w:p>
    <w:p>
      <w:pPr>
        <w:spacing w:before="72" w:beforeLines="30" w:after="72" w:afterLines="30" w:line="288" w:lineRule="auto"/>
        <w:jc w:val="both"/>
        <w:rPr>
          <w:rFonts w:eastAsia="Times New Roman"/>
          <w:sz w:val="20"/>
          <w:szCs w:val="20"/>
        </w:rPr>
      </w:pPr>
      <w:r>
        <w:rPr>
          <w:rFonts w:hint="eastAsia" w:eastAsia="Times New Roman"/>
          <w:sz w:val="20"/>
          <w:szCs w:val="20"/>
        </w:rPr>
        <w:t>In a typical beam training process, the base station transmits beams at a set of predetermined intervals and directions, the UE measures the reference signal resources carried on the transmit beams and reports the beam quality to the base station, and finally the base station determines the optimal beam and establishes a directional communication link. Since the transmitted beams are usually selected from a predefined analog beam codebook, an exhaustive search among all possible beams in the codebook is an optimal beam training scheme. However, this may result in excessive training overhead, measurement power consumption and processing delay, especially when using narrow pencil beams. To address the above issues, we consider the learning-based beam prediction methods and corresponding spec impacts in this contribution.</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1:</w:t>
      </w:r>
      <w:r>
        <w:rPr>
          <w:rFonts w:hint="eastAsia" w:eastAsia="Times New Roman"/>
          <w:i/>
          <w:iCs/>
          <w:sz w:val="20"/>
          <w:szCs w:val="20"/>
        </w:rPr>
        <w:t xml:space="preserve"> The traditional beam training method with brute-force sequential beam searching may result in excessive training overhead, measurement power consumption and processing delay.</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Selected sub use cases</w:t>
      </w:r>
    </w:p>
    <w:p>
      <w:pPr>
        <w:spacing w:before="72" w:beforeLines="30" w:after="72" w:afterLines="30" w:line="288" w:lineRule="auto"/>
        <w:jc w:val="both"/>
        <w:rPr>
          <w:rFonts w:eastAsia="Times New Roman"/>
          <w:sz w:val="20"/>
          <w:szCs w:val="20"/>
        </w:rPr>
      </w:pPr>
      <w:r>
        <w:rPr>
          <w:rFonts w:hint="eastAsia" w:eastAsia="Times New Roman"/>
          <w:sz w:val="20"/>
          <w:szCs w:val="20"/>
        </w:rPr>
        <w:t>The learning-based beam prediction methods employ suitable AI/ML models to learn the features of the beam space, environment, and user mobility behavior, thereby directly predicting the optimal beam. Compared with the traditional exhaustive search method, the learning-based beam prediction methods can significantly reduce the training overhead and processing delay. Learning-based beam prediction methods can be mainly divided into two main categories as follows.</w:t>
      </w:r>
    </w:p>
    <w:p>
      <w:pPr>
        <w:numPr>
          <w:ilvl w:val="0"/>
          <w:numId w:val="8"/>
        </w:numPr>
        <w:spacing w:before="72" w:beforeLines="30" w:after="72" w:afterLines="30" w:line="288" w:lineRule="auto"/>
        <w:ind w:left="420" w:hanging="420"/>
        <w:jc w:val="both"/>
        <w:rPr>
          <w:rFonts w:eastAsia="Times New Roman"/>
          <w:sz w:val="20"/>
          <w:szCs w:val="20"/>
        </w:rPr>
      </w:pPr>
      <w:r>
        <w:rPr>
          <w:rFonts w:hint="eastAsia" w:eastAsia="Times New Roman"/>
          <w:sz w:val="20"/>
          <w:szCs w:val="20"/>
        </w:rPr>
        <w:t>Spatial-domain beam prediction: Based on a few beam measurements, the quality of all beams is estimated using AI/ML techniques such as deep learning based super resolution models. The beams to be measured can be partial beams obtained by uniform or non-uniform sampling of the full beam space, or wide beams covering a broader angle.</w:t>
      </w:r>
    </w:p>
    <w:p>
      <w:pPr>
        <w:pStyle w:val="99"/>
        <w:widowControl w:val="0"/>
        <w:snapToGrid w:val="0"/>
        <w:spacing w:before="120" w:after="120" w:afterLines="50" w:line="240" w:lineRule="auto"/>
        <w:ind w:firstLine="0" w:firstLineChars="0"/>
        <w:jc w:val="center"/>
        <w:rPr>
          <w:rFonts w:eastAsia="微软雅黑"/>
          <w:iCs/>
          <w:sz w:val="20"/>
          <w:szCs w:val="20"/>
        </w:rPr>
      </w:pPr>
      <w:r>
        <w:rPr>
          <w:rFonts w:eastAsia="微软雅黑"/>
          <w:iCs/>
          <w:sz w:val="20"/>
          <w:szCs w:val="20"/>
        </w:rPr>
        <w:drawing>
          <wp:inline distT="0" distB="0" distL="114300" distR="114300">
            <wp:extent cx="3053715" cy="1212215"/>
            <wp:effectExtent l="0" t="0" r="0" b="0"/>
            <wp:docPr id="4" name="图片 4" descr="空域波束预测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空域波束预测示意图"/>
                    <pic:cNvPicPr>
                      <a:picLocks noChangeAspect="1"/>
                    </pic:cNvPicPr>
                  </pic:nvPicPr>
                  <pic:blipFill>
                    <a:blip r:embed="rId6"/>
                    <a:stretch>
                      <a:fillRect/>
                    </a:stretch>
                  </pic:blipFill>
                  <pic:spPr>
                    <a:xfrm>
                      <a:off x="0" y="0"/>
                      <a:ext cx="3053715" cy="1212215"/>
                    </a:xfrm>
                    <a:prstGeom prst="rect">
                      <a:avLst/>
                    </a:prstGeom>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rPr>
        <w:t>Figure 2-1. Illustration of AI/ML based spatial-domain beam prediction</w:t>
      </w:r>
    </w:p>
    <w:p>
      <w:pPr>
        <w:numPr>
          <w:ilvl w:val="0"/>
          <w:numId w:val="8"/>
        </w:numPr>
        <w:spacing w:before="72" w:beforeLines="30" w:after="72" w:afterLines="30" w:line="288" w:lineRule="auto"/>
        <w:jc w:val="both"/>
        <w:rPr>
          <w:rFonts w:eastAsia="Times New Roman"/>
          <w:sz w:val="20"/>
          <w:szCs w:val="20"/>
        </w:rPr>
      </w:pPr>
      <w:r>
        <w:rPr>
          <w:rFonts w:hint="eastAsia" w:eastAsia="Times New Roman"/>
          <w:sz w:val="20"/>
          <w:szCs w:val="20"/>
        </w:rPr>
        <w:t>Time-domain beam prediction: The AI/ML techniques are employed to predict future beam quality from past beam measurement information by extracting the temporal change and maintaining only the useful information. The past beam measurement information can be the optimal beam index or the received signal of the reference signal resource at multiple moments in the past, or the like.</w:t>
      </w:r>
    </w:p>
    <w:p>
      <w:pPr>
        <w:pStyle w:val="99"/>
        <w:widowControl w:val="0"/>
        <w:snapToGrid w:val="0"/>
        <w:spacing w:before="120" w:after="120" w:afterLines="50" w:line="240" w:lineRule="auto"/>
        <w:ind w:firstLine="0" w:firstLineChars="0"/>
        <w:jc w:val="center"/>
        <w:rPr>
          <w:rFonts w:eastAsia="微软雅黑"/>
          <w:i/>
          <w:sz w:val="20"/>
          <w:szCs w:val="20"/>
        </w:rPr>
      </w:pPr>
      <w:r>
        <w:rPr>
          <w:rFonts w:hint="eastAsia" w:eastAsia="微软雅黑"/>
          <w:i/>
          <w:sz w:val="20"/>
          <w:szCs w:val="20"/>
        </w:rPr>
        <w:drawing>
          <wp:inline distT="0" distB="0" distL="114300" distR="114300">
            <wp:extent cx="5136515" cy="1019810"/>
            <wp:effectExtent l="0" t="0" r="0" b="0"/>
            <wp:docPr id="6" name="图片 6" descr="时域波束预测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时域波束预测示意图"/>
                    <pic:cNvPicPr>
                      <a:picLocks noChangeAspect="1"/>
                    </pic:cNvPicPr>
                  </pic:nvPicPr>
                  <pic:blipFill>
                    <a:blip r:embed="rId7"/>
                    <a:stretch>
                      <a:fillRect/>
                    </a:stretch>
                  </pic:blipFill>
                  <pic:spPr>
                    <a:xfrm>
                      <a:off x="0" y="0"/>
                      <a:ext cx="5136515" cy="1019810"/>
                    </a:xfrm>
                    <a:prstGeom prst="rect">
                      <a:avLst/>
                    </a:prstGeom>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rPr>
        <w:t>Figure 2-2. Illustration of AI/ML based time-domain beam prediction</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Compared with the traditional exhaustive search-based beam training method, the learning-based beam prediction methods can significantly reduce the training overhead and processing delay.</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1:</w:t>
      </w:r>
      <w:r>
        <w:rPr>
          <w:rFonts w:hint="eastAsia" w:eastAsia="Times New Roman"/>
          <w:i/>
          <w:iCs/>
          <w:sz w:val="20"/>
          <w:szCs w:val="20"/>
        </w:rPr>
        <w:t xml:space="preserve"> Both the AI/ML-based spatial-domain beam prediction and time-domain beam prediction should be taken into consideration for possible applicability.</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Potential spec enhancements</w:t>
      </w:r>
    </w:p>
    <w:p>
      <w:pPr>
        <w:widowControl w:val="0"/>
        <w:snapToGrid w:val="0"/>
        <w:spacing w:before="120" w:beforeLines="50" w:after="120" w:afterLines="50" w:line="288" w:lineRule="auto"/>
        <w:jc w:val="both"/>
        <w:outlineLvl w:val="2"/>
        <w:rPr>
          <w:b/>
          <w:bCs/>
          <w:sz w:val="20"/>
          <w:szCs w:val="20"/>
          <w:u w:val="single"/>
        </w:rPr>
      </w:pPr>
      <w:r>
        <w:rPr>
          <w:rFonts w:hint="eastAsia"/>
          <w:b/>
          <w:bCs/>
          <w:sz w:val="20"/>
          <w:szCs w:val="20"/>
          <w:u w:val="single"/>
        </w:rPr>
        <w:t>AI model deployment:</w:t>
      </w:r>
    </w:p>
    <w:p>
      <w:pPr>
        <w:spacing w:before="72" w:beforeLines="30" w:after="72" w:afterLines="30" w:line="288" w:lineRule="auto"/>
        <w:jc w:val="both"/>
        <w:rPr>
          <w:rFonts w:eastAsia="Times New Roman"/>
          <w:sz w:val="20"/>
          <w:szCs w:val="20"/>
        </w:rPr>
      </w:pPr>
      <w:r>
        <w:rPr>
          <w:rFonts w:hint="eastAsia" w:eastAsia="Times New Roman"/>
          <w:sz w:val="20"/>
          <w:szCs w:val="20"/>
        </w:rPr>
        <w:t>Considering the relatively low collaboration level between the base station and UE for AI/ML-based beam management, AI models can actually be deployed either at the base station or at the UE side. However, we still observe some advantages of deploying AI at the base station in terms of real-time computation, model monitoring and inference accuracy, as specified below.</w:t>
      </w:r>
    </w:p>
    <w:p>
      <w:pPr>
        <w:numPr>
          <w:ilvl w:val="0"/>
          <w:numId w:val="9"/>
        </w:numPr>
        <w:spacing w:before="72" w:beforeLines="30" w:after="72" w:afterLines="30" w:line="288" w:lineRule="auto"/>
        <w:jc w:val="both"/>
        <w:rPr>
          <w:rFonts w:eastAsia="Times New Roman"/>
          <w:sz w:val="20"/>
          <w:szCs w:val="20"/>
        </w:rPr>
      </w:pPr>
      <w:r>
        <w:rPr>
          <w:rFonts w:hint="eastAsia" w:eastAsia="Times New Roman"/>
          <w:sz w:val="20"/>
          <w:szCs w:val="20"/>
        </w:rPr>
        <w:t>The currently prevalent AI/ML techniques require a large amount of model parameters and computational resource consumption. However, the storage resources, computational units, and battery capacity of UE are quite limited and vary among different users. Therefore, if the AI/ML model is deployed on the UE side, it is difficult to complete the computation of all the AI/ML modules in a short time to meet some low-latency communication service requirements, and there is no performance guarantee. In contrast, the base stations has more sufficient storage resources and powerful computing capabilities, which is beneficial to support real-time online training and inference.</w:t>
      </w:r>
    </w:p>
    <w:p>
      <w:pPr>
        <w:numPr>
          <w:ilvl w:val="0"/>
          <w:numId w:val="9"/>
        </w:numPr>
        <w:spacing w:before="72" w:beforeLines="30" w:after="72" w:afterLines="30" w:line="288" w:lineRule="auto"/>
        <w:jc w:val="both"/>
        <w:rPr>
          <w:rFonts w:eastAsia="Times New Roman"/>
          <w:sz w:val="20"/>
          <w:szCs w:val="20"/>
        </w:rPr>
      </w:pPr>
      <w:r>
        <w:rPr>
          <w:rFonts w:hint="eastAsia" w:eastAsia="Times New Roman"/>
          <w:sz w:val="20"/>
          <w:szCs w:val="20"/>
        </w:rPr>
        <w:t xml:space="preserve">The AI/ML models trained under different environments and propagation conditions may be different. If the AI/ML model is deployed on the UE side, the UE may need to constantly update the model parameters as it moves to different cells or locations. This imposes significantly power consumption to UE. Compared to UEs with diverse mobile behaviors, the base station is physically more stationary and has a more integrated perception of the surrounding environment. Deploying AI/ML models on the base station facilitates more efficient and timely model training, monitoring, and updating. </w:t>
      </w:r>
    </w:p>
    <w:p>
      <w:pPr>
        <w:numPr>
          <w:ilvl w:val="0"/>
          <w:numId w:val="9"/>
        </w:numPr>
        <w:spacing w:before="72" w:beforeLines="30" w:after="72" w:afterLines="30" w:line="288" w:lineRule="auto"/>
        <w:jc w:val="both"/>
        <w:rPr>
          <w:rFonts w:eastAsia="Times New Roman"/>
          <w:sz w:val="20"/>
          <w:szCs w:val="20"/>
        </w:rPr>
      </w:pPr>
      <w:r>
        <w:rPr>
          <w:rFonts w:hint="eastAsia" w:eastAsia="Times New Roman"/>
          <w:sz w:val="20"/>
          <w:szCs w:val="20"/>
        </w:rPr>
        <w:t xml:space="preserve">In the spatial-domain beam prediction, the prior information about the beam pattern is very important for the AI/ML inference. The beam pattern contains information such as beam width, beam angle, and </w:t>
      </w:r>
      <w:r>
        <w:rPr>
          <w:rFonts w:eastAsia="Times New Roman"/>
          <w:sz w:val="20"/>
          <w:szCs w:val="20"/>
        </w:rPr>
        <w:t xml:space="preserve">number of </w:t>
      </w:r>
      <w:r>
        <w:rPr>
          <w:rFonts w:hint="eastAsia" w:eastAsia="Times New Roman"/>
          <w:sz w:val="20"/>
          <w:szCs w:val="20"/>
        </w:rPr>
        <w:t>beam</w:t>
      </w:r>
      <w:r>
        <w:rPr>
          <w:rFonts w:eastAsia="Times New Roman"/>
          <w:sz w:val="20"/>
          <w:szCs w:val="20"/>
        </w:rPr>
        <w:t>s</w:t>
      </w:r>
      <w:r>
        <w:rPr>
          <w:rFonts w:hint="eastAsia" w:eastAsia="Times New Roman"/>
          <w:sz w:val="20"/>
          <w:szCs w:val="20"/>
        </w:rPr>
        <w:t>. At this stage, the specific form of the beam pattern is up to gNB implementation and may vary among different vendors. Additionally, the beam pattern at the transmitter may change with time and channel conditions. If the AI/ML model is deployed on the UE side, the UE cannot know the beam pattern of the base station when performing AI inference, which may lead to poor beam prediction performance. In contrast, the base station can perform relatively accurate AI/ML-based beam prediction based on the known beam pattern.</w:t>
      </w:r>
    </w:p>
    <w:p>
      <w:pPr>
        <w:spacing w:before="72" w:beforeLines="30" w:after="72" w:afterLines="30" w:line="288" w:lineRule="auto"/>
        <w:jc w:val="both"/>
        <w:rPr>
          <w:rFonts w:eastAsia="Times New Roman"/>
          <w:i/>
          <w:iCs/>
          <w:sz w:val="20"/>
          <w:szCs w:val="20"/>
        </w:rPr>
      </w:pPr>
      <w:bookmarkStart w:id="2" w:name="OLE_LINK1"/>
      <w:r>
        <w:rPr>
          <w:rFonts w:hint="eastAsia" w:eastAsia="Times New Roman"/>
          <w:b/>
          <w:bCs/>
          <w:i/>
          <w:iCs/>
          <w:sz w:val="20"/>
          <w:szCs w:val="20"/>
        </w:rPr>
        <w:t xml:space="preserve">Proposal 2: </w:t>
      </w:r>
      <w:r>
        <w:rPr>
          <w:rFonts w:eastAsia="Times New Roman"/>
          <w:i/>
          <w:iCs/>
          <w:sz w:val="20"/>
          <w:szCs w:val="20"/>
        </w:rPr>
        <w:t>At least the scenario where AI model is d</w:t>
      </w:r>
      <w:r>
        <w:rPr>
          <w:rFonts w:hint="eastAsia" w:eastAsia="Times New Roman"/>
          <w:i/>
          <w:iCs/>
          <w:sz w:val="20"/>
          <w:szCs w:val="20"/>
        </w:rPr>
        <w:t>eploy</w:t>
      </w:r>
      <w:r>
        <w:rPr>
          <w:rFonts w:eastAsia="Times New Roman"/>
          <w:i/>
          <w:iCs/>
          <w:sz w:val="20"/>
          <w:szCs w:val="20"/>
        </w:rPr>
        <w:t>ed</w:t>
      </w:r>
      <w:r>
        <w:rPr>
          <w:rFonts w:hint="eastAsia" w:eastAsia="Times New Roman"/>
          <w:i/>
          <w:iCs/>
          <w:sz w:val="20"/>
          <w:szCs w:val="20"/>
        </w:rPr>
        <w:t xml:space="preserve"> </w:t>
      </w:r>
      <w:r>
        <w:rPr>
          <w:rFonts w:eastAsia="Times New Roman"/>
          <w:i/>
          <w:iCs/>
          <w:sz w:val="20"/>
          <w:szCs w:val="20"/>
        </w:rPr>
        <w:t>at</w:t>
      </w:r>
      <w:r>
        <w:rPr>
          <w:rFonts w:hint="eastAsia" w:eastAsia="Times New Roman"/>
          <w:i/>
          <w:iCs/>
          <w:sz w:val="20"/>
          <w:szCs w:val="20"/>
        </w:rPr>
        <w:t xml:space="preserve"> base station </w:t>
      </w:r>
      <w:r>
        <w:rPr>
          <w:rFonts w:eastAsia="Times New Roman"/>
          <w:i/>
          <w:iCs/>
          <w:sz w:val="20"/>
          <w:szCs w:val="20"/>
        </w:rPr>
        <w:t xml:space="preserve">should be considered for specification enhancements on beam management. </w:t>
      </w:r>
      <w:bookmarkEnd w:id="2"/>
    </w:p>
    <w:p>
      <w:pPr>
        <w:spacing w:before="72" w:beforeLines="30" w:after="72" w:afterLines="30" w:line="288" w:lineRule="auto"/>
        <w:jc w:val="both"/>
        <w:rPr>
          <w:rFonts w:eastAsia="Times New Roman"/>
          <w:i/>
          <w:iCs/>
          <w:sz w:val="20"/>
          <w:szCs w:val="20"/>
        </w:rPr>
      </w:pPr>
    </w:p>
    <w:p>
      <w:pPr>
        <w:spacing w:before="72" w:beforeLines="30" w:after="72" w:afterLines="30" w:line="288" w:lineRule="auto"/>
        <w:jc w:val="both"/>
        <w:rPr>
          <w:rFonts w:eastAsia="Times New Roman"/>
          <w:i/>
          <w:iCs/>
          <w:sz w:val="20"/>
          <w:szCs w:val="20"/>
        </w:rPr>
      </w:pPr>
    </w:p>
    <w:p>
      <w:pPr>
        <w:spacing w:before="72" w:beforeLines="30" w:after="72" w:afterLines="30" w:line="288" w:lineRule="auto"/>
        <w:jc w:val="both"/>
        <w:rPr>
          <w:rFonts w:eastAsia="Times New Roman"/>
          <w:i/>
          <w:iCs/>
          <w:sz w:val="20"/>
          <w:szCs w:val="20"/>
        </w:rPr>
      </w:pPr>
    </w:p>
    <w:p>
      <w:pPr>
        <w:widowControl w:val="0"/>
        <w:snapToGrid w:val="0"/>
        <w:spacing w:before="120" w:beforeLines="50" w:after="120" w:afterLines="50" w:line="288" w:lineRule="auto"/>
        <w:jc w:val="both"/>
        <w:outlineLvl w:val="2"/>
        <w:rPr>
          <w:b/>
          <w:bCs/>
          <w:sz w:val="20"/>
          <w:szCs w:val="20"/>
          <w:u w:val="single"/>
        </w:rPr>
      </w:pPr>
      <w:r>
        <w:rPr>
          <w:rFonts w:hint="eastAsia"/>
          <w:b/>
          <w:bCs/>
          <w:sz w:val="20"/>
          <w:szCs w:val="20"/>
          <w:u w:val="single"/>
        </w:rPr>
        <w:t>AI model monitoring:</w:t>
      </w:r>
    </w:p>
    <w:p>
      <w:pPr>
        <w:spacing w:before="72" w:beforeLines="30" w:after="72" w:afterLines="30" w:line="288" w:lineRule="auto"/>
        <w:jc w:val="both"/>
        <w:rPr>
          <w:rFonts w:eastAsia="Times New Roman"/>
          <w:sz w:val="20"/>
          <w:szCs w:val="20"/>
        </w:rPr>
      </w:pPr>
      <w:r>
        <w:rPr>
          <w:rFonts w:hint="eastAsia" w:eastAsia="Times New Roman"/>
          <w:sz w:val="20"/>
          <w:szCs w:val="20"/>
        </w:rPr>
        <w:t>With the change of UE mobile behavior or propagation environment, the performance of the trained AI/ML models may be significantly degraded. More specifically, in the spatial-domain beam prediction, if the number of sampled beams is insufficient or the sampled beam direction deviates too much from the strongest path (LOS), the accuracy of AI inference for optimal beam may be significantly reduced. In the time-domain beam prediction, the predicted beam quality may be invalid if the user's mobile trajectory is too random or even the terminal</w:t>
      </w:r>
      <w:r>
        <w:rPr>
          <w:rFonts w:eastAsia="Times New Roman"/>
          <w:sz w:val="20"/>
          <w:szCs w:val="20"/>
        </w:rPr>
        <w:t>’</w:t>
      </w:r>
      <w:r>
        <w:rPr>
          <w:rFonts w:hint="eastAsia" w:eastAsia="Times New Roman"/>
          <w:sz w:val="20"/>
          <w:szCs w:val="20"/>
        </w:rPr>
        <w:t xml:space="preserve">s orientation changes suddenly. Therefore, model monitoring is essential for performance assurance, i.e. the base station or UE needs to regularly evaluate the reliability of the deployed AI/ML models. A feasible approach is to periodically transmit or activate </w:t>
      </w:r>
      <w:r>
        <w:rPr>
          <w:rFonts w:eastAsia="Times New Roman"/>
          <w:sz w:val="20"/>
          <w:szCs w:val="20"/>
        </w:rPr>
        <w:t xml:space="preserve">a resource set consisting of a set of CSI-RS or alternatively SS blocks </w:t>
      </w:r>
      <w:r>
        <w:rPr>
          <w:rFonts w:hint="eastAsia" w:eastAsia="Times New Roman"/>
          <w:sz w:val="20"/>
          <w:szCs w:val="20"/>
        </w:rPr>
        <w:t xml:space="preserve">that </w:t>
      </w:r>
      <w:r>
        <w:rPr>
          <w:rFonts w:eastAsia="Times New Roman"/>
          <w:sz w:val="20"/>
          <w:szCs w:val="20"/>
        </w:rPr>
        <w:t>correspond</w:t>
      </w:r>
      <w:r>
        <w:rPr>
          <w:rFonts w:hint="eastAsia" w:eastAsia="Times New Roman"/>
          <w:sz w:val="20"/>
          <w:szCs w:val="20"/>
        </w:rPr>
        <w:t xml:space="preserve"> </w:t>
      </w:r>
      <w:r>
        <w:rPr>
          <w:rFonts w:eastAsia="Times New Roman"/>
          <w:sz w:val="20"/>
          <w:szCs w:val="20"/>
        </w:rPr>
        <w:t>to different downlink beams at the whole beam space</w:t>
      </w:r>
      <w:r>
        <w:rPr>
          <w:rFonts w:hint="eastAsia" w:eastAsia="Times New Roman"/>
          <w:sz w:val="20"/>
          <w:szCs w:val="20"/>
        </w:rPr>
        <w:t>. By adopting the traditional exhaustive beam search method, the realistic optimal beam is obtained and compared with the predicted beam obtained by AI inference. If the AI inference fails, or the error probability of the AI inference exceeds a certain threshold during multiple model monitoring, the base station should update the model parameters or fallback to the traditional beam management methods.</w:t>
      </w:r>
    </w:p>
    <w:p>
      <w:pPr>
        <w:widowControl w:val="0"/>
        <w:snapToGrid w:val="0"/>
        <w:spacing w:before="120" w:beforeLines="50" w:after="120" w:afterLines="50" w:line="288" w:lineRule="auto"/>
        <w:jc w:val="both"/>
        <w:outlineLvl w:val="2"/>
        <w:rPr>
          <w:b/>
          <w:bCs/>
          <w:sz w:val="20"/>
          <w:szCs w:val="20"/>
          <w:u w:val="single"/>
        </w:rPr>
      </w:pPr>
      <w:r>
        <w:rPr>
          <w:rFonts w:hint="eastAsia"/>
          <w:b/>
          <w:bCs/>
          <w:sz w:val="20"/>
          <w:szCs w:val="20"/>
          <w:u w:val="single"/>
        </w:rPr>
        <w:t>Auxiliary information report:</w:t>
      </w:r>
    </w:p>
    <w:p>
      <w:pPr>
        <w:spacing w:before="72" w:beforeLines="30" w:after="72" w:afterLines="30" w:line="288" w:lineRule="auto"/>
        <w:jc w:val="both"/>
        <w:rPr>
          <w:rFonts w:eastAsia="Times New Roman"/>
          <w:sz w:val="20"/>
          <w:szCs w:val="20"/>
        </w:rPr>
      </w:pPr>
      <w:r>
        <w:rPr>
          <w:rFonts w:eastAsia="Times New Roman"/>
          <w:sz w:val="20"/>
          <w:szCs w:val="20"/>
        </w:rPr>
        <w:t xml:space="preserve">The transmit beam, receive beam and wireless channel characteristics together determine the measured L1-RSRP of </w:t>
      </w:r>
      <w:r>
        <w:rPr>
          <w:rFonts w:hint="eastAsia" w:eastAsia="Times New Roman"/>
          <w:sz w:val="20"/>
          <w:szCs w:val="20"/>
        </w:rPr>
        <w:t>the</w:t>
      </w:r>
      <w:r>
        <w:rPr>
          <w:rFonts w:eastAsia="Times New Roman"/>
          <w:sz w:val="20"/>
          <w:szCs w:val="20"/>
        </w:rPr>
        <w:t xml:space="preserve"> CSI-RS or SS block used for beam management. During </w:t>
      </w:r>
      <w:r>
        <w:rPr>
          <w:rFonts w:hint="eastAsia" w:eastAsia="Times New Roman"/>
          <w:sz w:val="20"/>
          <w:szCs w:val="20"/>
        </w:rPr>
        <w:t xml:space="preserve">a </w:t>
      </w:r>
      <w:r>
        <w:rPr>
          <w:rFonts w:eastAsia="Times New Roman"/>
          <w:sz w:val="20"/>
          <w:szCs w:val="20"/>
        </w:rPr>
        <w:t xml:space="preserve">time-domain or spatial-domain beam prediction process, the beam </w:t>
      </w:r>
      <w:r>
        <w:rPr>
          <w:rFonts w:hint="eastAsia" w:eastAsia="Times New Roman"/>
          <w:sz w:val="20"/>
          <w:szCs w:val="20"/>
        </w:rPr>
        <w:t xml:space="preserve">quantities </w:t>
      </w:r>
      <w:r>
        <w:rPr>
          <w:rFonts w:eastAsia="Times New Roman"/>
          <w:sz w:val="20"/>
          <w:szCs w:val="20"/>
        </w:rPr>
        <w:t xml:space="preserve">or beam index information input to the AI/ML model </w:t>
      </w:r>
      <w:r>
        <w:rPr>
          <w:rFonts w:hint="eastAsia" w:eastAsia="Times New Roman"/>
          <w:sz w:val="20"/>
          <w:szCs w:val="20"/>
        </w:rPr>
        <w:t>is better</w:t>
      </w:r>
      <w:r>
        <w:rPr>
          <w:rFonts w:eastAsia="Times New Roman"/>
          <w:sz w:val="20"/>
          <w:szCs w:val="20"/>
        </w:rPr>
        <w:t xml:space="preserve"> to </w:t>
      </w:r>
      <w:r>
        <w:rPr>
          <w:rFonts w:hint="eastAsia" w:eastAsia="Times New Roman"/>
          <w:sz w:val="20"/>
          <w:szCs w:val="20"/>
        </w:rPr>
        <w:t xml:space="preserve">be </w:t>
      </w:r>
      <w:r>
        <w:rPr>
          <w:rFonts w:eastAsia="Times New Roman"/>
          <w:sz w:val="20"/>
          <w:szCs w:val="20"/>
        </w:rPr>
        <w:t>a particular receive beam, that is, the receive beam of the UE needs to remain unchanged throughout the measurement process</w:t>
      </w:r>
      <w:r>
        <w:rPr>
          <w:rFonts w:hint="eastAsia" w:eastAsia="Times New Roman"/>
          <w:sz w:val="20"/>
          <w:szCs w:val="20"/>
        </w:rPr>
        <w:t xml:space="preserve"> </w:t>
      </w:r>
      <w:r>
        <w:rPr>
          <w:rFonts w:eastAsia="Times New Roman"/>
          <w:sz w:val="20"/>
          <w:szCs w:val="20"/>
        </w:rPr>
        <w:t>in some cases e.g.</w:t>
      </w:r>
      <w:r>
        <w:rPr>
          <w:rFonts w:hint="eastAsia"/>
          <w:sz w:val="20"/>
          <w:szCs w:val="20"/>
        </w:rPr>
        <w:t>,</w:t>
      </w:r>
      <w:r>
        <w:rPr>
          <w:rFonts w:eastAsia="Times New Roman"/>
          <w:sz w:val="20"/>
          <w:szCs w:val="20"/>
        </w:rPr>
        <w:t xml:space="preserve"> </w:t>
      </w:r>
      <w:r>
        <w:rPr>
          <w:rFonts w:hint="eastAsia" w:eastAsia="Times New Roman"/>
          <w:sz w:val="20"/>
          <w:szCs w:val="20"/>
        </w:rPr>
        <w:t xml:space="preserve">when conducting </w:t>
      </w:r>
      <w:r>
        <w:rPr>
          <w:rFonts w:eastAsia="Times New Roman"/>
          <w:sz w:val="20"/>
          <w:szCs w:val="20"/>
        </w:rPr>
        <w:t xml:space="preserve">gNB </w:t>
      </w:r>
      <w:r>
        <w:rPr>
          <w:rFonts w:hint="eastAsia" w:eastAsia="Times New Roman"/>
          <w:sz w:val="20"/>
          <w:szCs w:val="20"/>
        </w:rPr>
        <w:t>Tx beam sweeping</w:t>
      </w:r>
      <w:r>
        <w:rPr>
          <w:rFonts w:eastAsia="Times New Roman"/>
          <w:sz w:val="20"/>
          <w:szCs w:val="20"/>
        </w:rPr>
        <w:t xml:space="preserve">. It is currently not possible to know  whether/how UE updates the receive beam considering that the receive beam is up to UE implementation. Therefore, a potential enhancement </w:t>
      </w:r>
      <w:r>
        <w:rPr>
          <w:rFonts w:hint="eastAsia" w:eastAsia="Times New Roman"/>
          <w:sz w:val="20"/>
          <w:szCs w:val="20"/>
        </w:rPr>
        <w:t xml:space="preserve"> </w:t>
      </w:r>
      <w:r>
        <w:rPr>
          <w:rFonts w:eastAsia="Times New Roman"/>
          <w:sz w:val="20"/>
          <w:szCs w:val="20"/>
        </w:rPr>
        <w:t xml:space="preserve">is that the UE also feeds back the receive beam-related information to the base station in the CSI report, such as update on the receive beam direction </w:t>
      </w:r>
      <w:r>
        <w:rPr>
          <w:rFonts w:hint="eastAsia" w:eastAsia="Times New Roman"/>
          <w:sz w:val="20"/>
          <w:szCs w:val="20"/>
        </w:rPr>
        <w:t xml:space="preserve">or </w:t>
      </w:r>
      <w:r>
        <w:rPr>
          <w:rFonts w:eastAsia="Times New Roman"/>
          <w:sz w:val="20"/>
          <w:szCs w:val="20"/>
        </w:rPr>
        <w:t>receive beam pattern. Based on these auxiliary information about the receive beam, the base station can perform beam prediction more accurately and improve the generalization of the trained AI/ML model. Similarly, if the AI/ML model is deployed on the UE side, the base station should also inform the UE of the auxiliary information about the transmit beam. In conclusion, in contrast to the mutual transparent beam implementation as in Rel-17, some auxiliary information about beam features is beneficial for AI reference and generalization improvement.</w:t>
      </w:r>
    </w:p>
    <w:p>
      <w:pPr>
        <w:pStyle w:val="99"/>
        <w:widowControl w:val="0"/>
        <w:snapToGrid w:val="0"/>
        <w:spacing w:before="120" w:after="120" w:afterLines="50" w:line="240" w:lineRule="auto"/>
        <w:ind w:firstLine="0" w:firstLineChars="0"/>
        <w:jc w:val="center"/>
        <w:rPr>
          <w:sz w:val="20"/>
          <w:szCs w:val="20"/>
        </w:rPr>
      </w:pPr>
      <w:r>
        <w:rPr>
          <w:rFonts w:hint="eastAsia"/>
          <w:sz w:val="20"/>
          <w:szCs w:val="20"/>
        </w:rPr>
        <w:drawing>
          <wp:inline distT="0" distB="0" distL="114300" distR="114300">
            <wp:extent cx="4135120" cy="1972945"/>
            <wp:effectExtent l="0" t="0" r="0" b="0"/>
            <wp:docPr id="9"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
                    <pic:cNvPicPr>
                      <a:picLocks noChangeAspect="1"/>
                    </pic:cNvPicPr>
                  </pic:nvPicPr>
                  <pic:blipFill>
                    <a:blip r:embed="rId8"/>
                    <a:stretch>
                      <a:fillRect/>
                    </a:stretch>
                  </pic:blipFill>
                  <pic:spPr>
                    <a:xfrm>
                      <a:off x="0" y="0"/>
                      <a:ext cx="4135120" cy="1972945"/>
                    </a:xfrm>
                    <a:prstGeom prst="rect">
                      <a:avLst/>
                    </a:prstGeom>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rPr>
        <w:t>Figure 2-3. Signals and messages exchanged during the AI/ML-based beam management procedure</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rPr>
        <w:t>3</w:t>
      </w:r>
      <w:r>
        <w:rPr>
          <w:rFonts w:hint="eastAsia" w:eastAsia="Times New Roman"/>
          <w:b/>
          <w:bCs/>
          <w:i/>
          <w:iCs/>
          <w:sz w:val="20"/>
          <w:szCs w:val="20"/>
        </w:rPr>
        <w:t xml:space="preserve">: </w:t>
      </w:r>
      <w:r>
        <w:rPr>
          <w:rFonts w:eastAsia="Times New Roman"/>
          <w:i/>
          <w:iCs/>
          <w:sz w:val="20"/>
          <w:szCs w:val="20"/>
        </w:rPr>
        <w:t xml:space="preserve">Study potential enhancements on receive beam-related information to the base station reported by UE to assist gNB </w:t>
      </w:r>
      <w:r>
        <w:rPr>
          <w:rFonts w:hint="eastAsia" w:eastAsia="Times New Roman"/>
          <w:i/>
          <w:iCs/>
          <w:sz w:val="20"/>
          <w:szCs w:val="20"/>
        </w:rPr>
        <w:t xml:space="preserve">for </w:t>
      </w:r>
      <w:r>
        <w:rPr>
          <w:rFonts w:eastAsia="Times New Roman"/>
          <w:i/>
          <w:iCs/>
          <w:sz w:val="20"/>
          <w:szCs w:val="20"/>
        </w:rPr>
        <w:t xml:space="preserve">more accurate </w:t>
      </w:r>
      <w:r>
        <w:rPr>
          <w:rFonts w:hint="eastAsia" w:eastAsia="Times New Roman"/>
          <w:i/>
          <w:iCs/>
          <w:sz w:val="20"/>
          <w:szCs w:val="20"/>
        </w:rPr>
        <w:t>beam prediction</w:t>
      </w:r>
      <w:r>
        <w:rPr>
          <w:rFonts w:eastAsia="Times New Roman"/>
          <w:i/>
          <w:iCs/>
          <w:sz w:val="20"/>
          <w:szCs w:val="20"/>
        </w:rPr>
        <w:t xml:space="preserve"> and </w:t>
      </w:r>
      <w:r>
        <w:rPr>
          <w:rFonts w:hint="eastAsia" w:eastAsia="Times New Roman"/>
          <w:i/>
          <w:iCs/>
          <w:sz w:val="20"/>
          <w:szCs w:val="20"/>
        </w:rPr>
        <w:t xml:space="preserve">improved </w:t>
      </w:r>
      <w:r>
        <w:rPr>
          <w:rFonts w:eastAsia="Times New Roman"/>
          <w:i/>
          <w:iCs/>
          <w:sz w:val="20"/>
          <w:szCs w:val="20"/>
        </w:rPr>
        <w:t>generalization</w:t>
      </w:r>
      <w:r>
        <w:rPr>
          <w:rFonts w:hint="eastAsia" w:eastAsia="Times New Roman"/>
          <w:i/>
          <w:iCs/>
          <w:sz w:val="20"/>
          <w:szCs w:val="20"/>
        </w:rPr>
        <w:t xml:space="preserve"> </w:t>
      </w:r>
      <w:r>
        <w:rPr>
          <w:rFonts w:eastAsia="Times New Roman"/>
          <w:i/>
          <w:iCs/>
          <w:sz w:val="20"/>
          <w:szCs w:val="20"/>
        </w:rPr>
        <w:t>of the trained AI/ML model.</w:t>
      </w:r>
    </w:p>
    <w:p>
      <w:pPr>
        <w:spacing w:before="72" w:beforeLines="30" w:after="72" w:afterLines="30" w:line="288" w:lineRule="auto"/>
        <w:jc w:val="both"/>
        <w:rPr>
          <w:rFonts w:eastAsia="Times New Roman"/>
          <w:i/>
          <w:iCs/>
          <w:sz w:val="20"/>
          <w:szCs w:val="20"/>
        </w:rPr>
      </w:pPr>
    </w:p>
    <w:p>
      <w:pPr>
        <w:spacing w:before="72" w:beforeLines="30" w:after="72" w:afterLines="30" w:line="288" w:lineRule="auto"/>
        <w:jc w:val="both"/>
        <w:rPr>
          <w:rFonts w:eastAsia="Times New Roman"/>
          <w:i/>
          <w:iCs/>
          <w:sz w:val="20"/>
          <w:szCs w:val="20"/>
        </w:rPr>
      </w:pPr>
    </w:p>
    <w:p>
      <w:pPr>
        <w:widowControl w:val="0"/>
        <w:snapToGrid w:val="0"/>
        <w:spacing w:before="120" w:beforeLines="50" w:after="120" w:afterLines="50" w:line="288" w:lineRule="auto"/>
        <w:jc w:val="both"/>
        <w:outlineLvl w:val="2"/>
        <w:rPr>
          <w:b/>
          <w:bCs/>
          <w:sz w:val="20"/>
          <w:szCs w:val="20"/>
          <w:u w:val="single"/>
        </w:rPr>
      </w:pPr>
      <w:r>
        <w:rPr>
          <w:b/>
          <w:bCs/>
          <w:sz w:val="20"/>
          <w:szCs w:val="20"/>
          <w:u w:val="single"/>
        </w:rPr>
        <w:t>Beam measurement and reporting</w:t>
      </w:r>
      <w:r>
        <w:rPr>
          <w:rFonts w:hint="eastAsia"/>
          <w:b/>
          <w:bCs/>
          <w:sz w:val="20"/>
          <w:szCs w:val="20"/>
          <w:u w:val="single"/>
        </w:rPr>
        <w:t>:</w:t>
      </w:r>
    </w:p>
    <w:p>
      <w:pPr>
        <w:spacing w:before="72" w:beforeLines="30" w:after="72" w:afterLines="30" w:line="288" w:lineRule="auto"/>
        <w:jc w:val="both"/>
        <w:rPr>
          <w:rFonts w:eastAsia="Times New Roman"/>
          <w:sz w:val="20"/>
          <w:szCs w:val="20"/>
        </w:rPr>
      </w:pPr>
      <w:r>
        <w:rPr>
          <w:rFonts w:eastAsia="Times New Roman"/>
          <w:sz w:val="20"/>
          <w:szCs w:val="20"/>
        </w:rPr>
        <w:t xml:space="preserve">In the spatial-domain beam prediction, if the AI/ML model is deployed on the base station, the UE needs to report measured L1-RSRPs of the sampled partial beams to the base station, which are adopted as the AI/ML model input. Then, the base station infers the optimal beam with the well-trained AI/ML model. For example, for the case that the AI/ML model deployed on the base station infers quality of 128 beams from 32 measured L1-RSRPs, it means that the UE needs to report the measurement results of all 32 beams, including the </w:t>
      </w:r>
      <w:r>
        <w:rPr>
          <w:rFonts w:hint="eastAsia" w:eastAsia="Times New Roman"/>
          <w:sz w:val="20"/>
          <w:szCs w:val="20"/>
        </w:rPr>
        <w:t>RS</w:t>
      </w:r>
      <w:r>
        <w:rPr>
          <w:rFonts w:eastAsia="Times New Roman"/>
          <w:sz w:val="20"/>
          <w:szCs w:val="20"/>
        </w:rPr>
        <w:t xml:space="preserve"> resource </w:t>
      </w:r>
      <w:r>
        <w:rPr>
          <w:rFonts w:hint="eastAsia" w:eastAsia="Times New Roman"/>
          <w:sz w:val="20"/>
          <w:szCs w:val="20"/>
        </w:rPr>
        <w:t>indices</w:t>
      </w:r>
      <w:r>
        <w:rPr>
          <w:rFonts w:eastAsia="Times New Roman"/>
          <w:sz w:val="20"/>
          <w:szCs w:val="20"/>
        </w:rPr>
        <w:t xml:space="preserve"> and corresponding measured L1-RSRPs. Obviously, this</w:t>
      </w:r>
      <w:r>
        <w:rPr>
          <w:rFonts w:hint="eastAsia" w:eastAsia="Times New Roman"/>
          <w:sz w:val="20"/>
          <w:szCs w:val="20"/>
        </w:rPr>
        <w:t xml:space="preserve"> kind of</w:t>
      </w:r>
      <w:r>
        <w:rPr>
          <w:rFonts w:eastAsia="Times New Roman"/>
          <w:sz w:val="20"/>
          <w:szCs w:val="20"/>
        </w:rPr>
        <w:t xml:space="preserve"> reporting method leads to large signaling overhead and waste of time-frequency resources, thereby reducing UE throughput. Moreover, the UE capability also limits the number of measured L1-RSRPs to be reported per report setting. Specifically, in the existing spec, the number of measured L1-RSRPs that can be reported in a single report setting is {1, 2, 3, 4}, depending on UE capability. Conversely, without sufficient beam measurement fed back by the UE, the AI/ML model deployed on the base station cannot accurately predict the optimal beam. Therefore, there is a trade-off between the reporting cost of the UE and the AI inference accuracy of the base station. The research on enhanced beam reporting scheme is of great significance for the AI/ML-based spatial-domain beam prediction and deserves more discussion. For example, group based beam reporting can be extended to support beam reporting with different beam grouping.</w:t>
      </w:r>
    </w:p>
    <w:p>
      <w:pPr>
        <w:spacing w:before="72" w:beforeLines="30" w:after="72" w:afterLines="30" w:line="288" w:lineRule="auto"/>
        <w:jc w:val="both"/>
        <w:rPr>
          <w:rFonts w:eastAsia="微软雅黑"/>
          <w:iCs/>
          <w:sz w:val="20"/>
          <w:szCs w:val="20"/>
        </w:rPr>
      </w:pPr>
      <w:r>
        <w:rPr>
          <w:rFonts w:hint="eastAsia" w:eastAsia="Times New Roman"/>
          <w:b/>
          <w:bCs/>
          <w:i/>
          <w:iCs/>
          <w:sz w:val="20"/>
          <w:szCs w:val="20"/>
        </w:rPr>
        <w:t xml:space="preserve">Proposal </w:t>
      </w:r>
      <w:r>
        <w:rPr>
          <w:rFonts w:hint="eastAsia"/>
          <w:b/>
          <w:bCs/>
          <w:i/>
          <w:iCs/>
          <w:sz w:val="20"/>
          <w:szCs w:val="20"/>
        </w:rPr>
        <w:t>4</w:t>
      </w:r>
      <w:r>
        <w:rPr>
          <w:rFonts w:hint="eastAsia" w:eastAsia="Times New Roman"/>
          <w:b/>
          <w:bCs/>
          <w:i/>
          <w:iCs/>
          <w:sz w:val="20"/>
          <w:szCs w:val="20"/>
        </w:rPr>
        <w:t xml:space="preserve">: </w:t>
      </w:r>
      <w:r>
        <w:rPr>
          <w:rFonts w:eastAsia="Times New Roman"/>
          <w:i/>
          <w:iCs/>
          <w:sz w:val="20"/>
          <w:szCs w:val="20"/>
        </w:rPr>
        <w:t>Study potential enhancements to support more flexible beam measurement and reporting, in order to adapt to different AI/ML based beam prediction.</w:t>
      </w:r>
    </w:p>
    <w:p>
      <w:pPr>
        <w:spacing w:before="72" w:beforeLines="30" w:after="72" w:afterLines="30" w:line="288" w:lineRule="auto"/>
        <w:jc w:val="both"/>
        <w:rPr>
          <w:rFonts w:eastAsia="Times New Roman"/>
          <w:i/>
          <w:iCs/>
          <w:sz w:val="20"/>
          <w:szCs w:val="20"/>
        </w:rPr>
      </w:pPr>
    </w:p>
    <w:p>
      <w:pPr>
        <w:widowControl w:val="0"/>
        <w:snapToGrid w:val="0"/>
        <w:spacing w:before="120" w:beforeLines="50" w:after="120" w:afterLines="50" w:line="288" w:lineRule="auto"/>
        <w:jc w:val="both"/>
        <w:outlineLvl w:val="2"/>
        <w:rPr>
          <w:b/>
          <w:bCs/>
          <w:sz w:val="20"/>
          <w:szCs w:val="20"/>
          <w:u w:val="single"/>
        </w:rPr>
      </w:pPr>
      <w:r>
        <w:drawing>
          <wp:anchor distT="0" distB="0" distL="114300" distR="114300" simplePos="0" relativeHeight="251660288" behindDoc="1" locked="0" layoutInCell="1" allowOverlap="1">
            <wp:simplePos x="0" y="0"/>
            <wp:positionH relativeFrom="column">
              <wp:posOffset>-266065</wp:posOffset>
            </wp:positionH>
            <wp:positionV relativeFrom="paragraph">
              <wp:posOffset>368300</wp:posOffset>
            </wp:positionV>
            <wp:extent cx="2908935" cy="2205990"/>
            <wp:effectExtent l="0" t="0" r="5715" b="381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08935" cy="2205990"/>
                    </a:xfrm>
                    <a:prstGeom prst="rect">
                      <a:avLst/>
                    </a:prstGeom>
                  </pic:spPr>
                </pic:pic>
              </a:graphicData>
            </a:graphic>
          </wp:anchor>
        </w:drawing>
      </w:r>
      <w:r>
        <w:rPr>
          <w:b/>
          <w:bCs/>
          <w:sz w:val="20"/>
          <w:szCs w:val="20"/>
          <w:u w:val="single"/>
        </w:rPr>
        <w:drawing>
          <wp:anchor distT="0" distB="0" distL="114300" distR="114300" simplePos="0" relativeHeight="251659264" behindDoc="0" locked="0" layoutInCell="1" allowOverlap="1">
            <wp:simplePos x="0" y="0"/>
            <wp:positionH relativeFrom="column">
              <wp:posOffset>2712085</wp:posOffset>
            </wp:positionH>
            <wp:positionV relativeFrom="paragraph">
              <wp:posOffset>269240</wp:posOffset>
            </wp:positionV>
            <wp:extent cx="3013075" cy="2274570"/>
            <wp:effectExtent l="0" t="0" r="0" b="0"/>
            <wp:wrapSquare wrapText="bothSides"/>
            <wp:docPr id="5939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 name="图片 58"/>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13075" cy="2274570"/>
                    </a:xfrm>
                    <a:prstGeom prst="rect">
                      <a:avLst/>
                    </a:prstGeom>
                    <a:noFill/>
                    <a:ln>
                      <a:noFill/>
                    </a:ln>
                  </pic:spPr>
                </pic:pic>
              </a:graphicData>
            </a:graphic>
          </wp:anchor>
        </w:drawing>
      </w:r>
      <w:r>
        <w:rPr>
          <w:rFonts w:hint="eastAsia"/>
          <w:b/>
          <w:bCs/>
          <w:sz w:val="20"/>
          <w:szCs w:val="20"/>
          <w:u w:val="single"/>
        </w:rPr>
        <w:t>Beam prediction in high mobility scenarios:</w:t>
      </w:r>
    </w:p>
    <w:p>
      <w:pPr>
        <w:spacing w:before="72" w:beforeLines="30" w:after="72" w:afterLines="30" w:line="288" w:lineRule="auto"/>
        <w:jc w:val="center"/>
        <w:rPr>
          <w:rFonts w:hint="eastAsia" w:eastAsiaTheme="minorEastAsia"/>
          <w:sz w:val="20"/>
          <w:szCs w:val="20"/>
        </w:rPr>
      </w:pPr>
      <w:r>
        <w:rPr>
          <w:rFonts w:hint="eastAsia" w:eastAsia="Times New Roman"/>
          <w:sz w:val="20"/>
          <w:szCs w:val="20"/>
        </w:rPr>
        <w:t>Figure 2-</w:t>
      </w:r>
      <w:r>
        <w:rPr>
          <w:rFonts w:eastAsia="Times New Roman"/>
          <w:sz w:val="20"/>
          <w:szCs w:val="20"/>
        </w:rPr>
        <w:t>4</w:t>
      </w:r>
      <w:r>
        <w:rPr>
          <w:rFonts w:hint="eastAsia" w:eastAsia="Times New Roman"/>
          <w:sz w:val="20"/>
          <w:szCs w:val="20"/>
        </w:rPr>
        <w:t xml:space="preserve">. </w:t>
      </w:r>
      <w:r>
        <w:rPr>
          <w:rFonts w:eastAsia="Times New Roman"/>
          <w:sz w:val="20"/>
          <w:szCs w:val="20"/>
        </w:rPr>
        <w:t>Beam prediction in high mobility scenarios</w:t>
      </w:r>
    </w:p>
    <w:p>
      <w:pPr>
        <w:spacing w:before="72" w:beforeLines="30" w:after="72" w:afterLines="30" w:line="288" w:lineRule="auto"/>
        <w:jc w:val="both"/>
        <w:rPr>
          <w:sz w:val="20"/>
          <w:szCs w:val="20"/>
        </w:rPr>
      </w:pPr>
      <w:r>
        <w:rPr>
          <w:rFonts w:hint="eastAsia"/>
          <w:sz w:val="20"/>
          <w:szCs w:val="20"/>
        </w:rPr>
        <w:t xml:space="preserve">For UE mobility, analog beam switching/updating is determined according to beam dwelling time. The beam dwelling time depends on multiple factors including UE speed, distance between gNB and UE and beam-width of the gNB beams. </w:t>
      </w:r>
      <w:r>
        <w:rPr>
          <w:rFonts w:hint="eastAsia" w:eastAsia="Times New Roman"/>
          <w:sz w:val="20"/>
          <w:szCs w:val="20"/>
        </w:rPr>
        <w:t>Severe throughput degradation for traditional beam management method</w:t>
      </w:r>
      <w:r>
        <w:rPr>
          <w:rFonts w:hint="eastAsia"/>
          <w:sz w:val="20"/>
          <w:szCs w:val="20"/>
        </w:rPr>
        <w:t xml:space="preserve">, as shown in our companion contribution [2], </w:t>
      </w:r>
      <w:r>
        <w:rPr>
          <w:rFonts w:hint="eastAsia" w:eastAsia="Times New Roman"/>
          <w:sz w:val="20"/>
          <w:szCs w:val="20"/>
        </w:rPr>
        <w:t>occurs due to huge RS overhead for beam tracking and large latency for beam indication, especially in high mobility scenarios.</w:t>
      </w:r>
      <w:r>
        <w:rPr>
          <w:rFonts w:hint="eastAsia"/>
          <w:sz w:val="20"/>
          <w:szCs w:val="20"/>
        </w:rPr>
        <w:t xml:space="preserve"> When AI based method is used for beam prediction in </w:t>
      </w:r>
      <w:r>
        <w:rPr>
          <w:rFonts w:hint="eastAsia" w:eastAsia="Times New Roman"/>
          <w:sz w:val="20"/>
          <w:szCs w:val="20"/>
        </w:rPr>
        <w:t>high mobility scenarios</w:t>
      </w:r>
      <w:r>
        <w:rPr>
          <w:rFonts w:hint="eastAsia"/>
          <w:sz w:val="20"/>
          <w:szCs w:val="20"/>
        </w:rPr>
        <w:t>, which significantly reduces RS overhead and the latency for beam reporting and beam indication. Meanwhile, cell-edge UE UPT and mean UPT are also improved obviously.</w:t>
      </w:r>
    </w:p>
    <w:p>
      <w:pPr>
        <w:spacing w:before="72" w:beforeLines="30" w:after="72" w:afterLines="30" w:line="288" w:lineRule="auto"/>
        <w:jc w:val="both"/>
        <w:rPr>
          <w:sz w:val="20"/>
          <w:szCs w:val="20"/>
        </w:rPr>
      </w:pPr>
      <w:r>
        <w:rPr>
          <w:rFonts w:hint="eastAsia"/>
          <w:sz w:val="20"/>
          <w:szCs w:val="20"/>
        </w:rPr>
        <w:t>Therefore, we propose to consider predictable mobility for beam management as an enhancement aspect for improving UE experience in FR2 high mobility scenario (e.g., high-speed train and high-way) in Rel-18 AI-PHY, which at least includes beam-management-related enhancements for predictable mobility, involving beam measurement, beam report and beam indication.</w:t>
      </w:r>
      <w:r>
        <w:rPr>
          <w:sz w:val="20"/>
          <w:szCs w:val="20"/>
        </w:rPr>
        <w:t xml:space="preserve">  For example, beam indication includes the indication of a series of beams in the future.</w:t>
      </w:r>
    </w:p>
    <w:p>
      <w:pPr>
        <w:spacing w:before="72" w:beforeLines="30" w:after="72" w:afterLines="30" w:line="288" w:lineRule="auto"/>
        <w:jc w:val="both"/>
        <w:rPr>
          <w:i/>
          <w:iCs/>
          <w:sz w:val="20"/>
          <w:szCs w:val="20"/>
        </w:rPr>
      </w:pPr>
      <w:r>
        <w:rPr>
          <w:rFonts w:hint="eastAsia"/>
          <w:b/>
          <w:bCs/>
          <w:i/>
          <w:iCs/>
          <w:sz w:val="20"/>
          <w:szCs w:val="20"/>
        </w:rPr>
        <w:t>Proposal 5:</w:t>
      </w:r>
      <w:r>
        <w:rPr>
          <w:rFonts w:hint="eastAsia"/>
          <w:i/>
          <w:iCs/>
          <w:sz w:val="20"/>
          <w:szCs w:val="20"/>
        </w:rPr>
        <w:t xml:space="preserve"> Consider predictable mobility for beam management as an enhancement aspect for improving UE experience in FR2 high mobility scenario (e.g., high-speed train and high-way), which at least includes beam-management-related enhancements for predictable mobility, involving beam measurement, beam report and beam indication.</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Conclusions</w:t>
      </w:r>
    </w:p>
    <w:p>
      <w:pPr>
        <w:spacing w:before="72" w:beforeLines="30" w:after="72" w:afterLines="30" w:line="288" w:lineRule="auto"/>
        <w:jc w:val="both"/>
        <w:rPr>
          <w:rFonts w:eastAsia="Times New Roman"/>
          <w:sz w:val="20"/>
          <w:szCs w:val="20"/>
        </w:rPr>
      </w:pPr>
      <w:r>
        <w:rPr>
          <w:rFonts w:hint="eastAsia" w:eastAsia="Times New Roman"/>
          <w:sz w:val="20"/>
          <w:szCs w:val="20"/>
        </w:rPr>
        <w:t>In this contribution, we discuss the potential specification impacts and enhancements for AI/ML based beam management. We have the following observations and proposals.</w:t>
      </w: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Observations: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1:</w:t>
      </w:r>
      <w:r>
        <w:rPr>
          <w:rFonts w:hint="eastAsia" w:eastAsia="Times New Roman"/>
          <w:i/>
          <w:iCs/>
          <w:sz w:val="20"/>
          <w:szCs w:val="20"/>
        </w:rPr>
        <w:t xml:space="preserve"> The traditional beam training method with brute-force sequential beam searching may result in excessive training overhead, measurement power consumption and processing delay.</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Observation 2:</w:t>
      </w:r>
      <w:r>
        <w:rPr>
          <w:rFonts w:hint="eastAsia" w:eastAsia="Times New Roman"/>
          <w:i/>
          <w:iCs/>
          <w:sz w:val="20"/>
          <w:szCs w:val="20"/>
        </w:rPr>
        <w:t xml:space="preserve"> Compared with the traditional exhaustive search-based beam training method, the learning-based beam prediction methods can significantly reduce the training overhead and processing delay.</w:t>
      </w:r>
    </w:p>
    <w:p>
      <w:pPr>
        <w:spacing w:before="72" w:beforeLines="30" w:after="72" w:afterLines="30" w:line="288" w:lineRule="auto"/>
        <w:jc w:val="both"/>
        <w:rPr>
          <w:rFonts w:eastAsia="Times New Roman"/>
          <w:i/>
          <w:iCs/>
          <w:sz w:val="20"/>
          <w:szCs w:val="20"/>
        </w:rPr>
      </w:pPr>
    </w:p>
    <w:p>
      <w:pPr>
        <w:spacing w:before="72" w:beforeLines="30" w:after="72" w:afterLines="30" w:line="288" w:lineRule="auto"/>
        <w:jc w:val="both"/>
        <w:rPr>
          <w:rFonts w:eastAsia="Times New Roman"/>
          <w:b/>
          <w:bCs/>
          <w:sz w:val="20"/>
          <w:szCs w:val="20"/>
          <w:u w:val="single"/>
        </w:rPr>
      </w:pPr>
      <w:r>
        <w:rPr>
          <w:rFonts w:hint="eastAsia" w:eastAsia="Times New Roman"/>
          <w:b/>
          <w:bCs/>
          <w:sz w:val="20"/>
          <w:szCs w:val="20"/>
          <w:u w:val="single"/>
        </w:rPr>
        <w:t>Proposals:</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1: </w:t>
      </w:r>
      <w:r>
        <w:rPr>
          <w:rFonts w:hint="eastAsia" w:eastAsia="Times New Roman"/>
          <w:i/>
          <w:iCs/>
          <w:sz w:val="20"/>
          <w:szCs w:val="20"/>
        </w:rPr>
        <w:t>Both the AI/ML-based spatial-domain beam prediction and time-domain beam prediction should be taken into consideration for possible applicability.</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2: </w:t>
      </w:r>
      <w:r>
        <w:rPr>
          <w:rFonts w:eastAsia="Times New Roman"/>
          <w:i/>
          <w:iCs/>
          <w:sz w:val="20"/>
          <w:szCs w:val="20"/>
        </w:rPr>
        <w:t>At least the scenario where AI model is d</w:t>
      </w:r>
      <w:r>
        <w:rPr>
          <w:rFonts w:hint="eastAsia" w:eastAsia="Times New Roman"/>
          <w:i/>
          <w:iCs/>
          <w:sz w:val="20"/>
          <w:szCs w:val="20"/>
        </w:rPr>
        <w:t>eploy</w:t>
      </w:r>
      <w:r>
        <w:rPr>
          <w:rFonts w:eastAsia="Times New Roman"/>
          <w:i/>
          <w:iCs/>
          <w:sz w:val="20"/>
          <w:szCs w:val="20"/>
        </w:rPr>
        <w:t>ed</w:t>
      </w:r>
      <w:r>
        <w:rPr>
          <w:rFonts w:hint="eastAsia" w:eastAsia="Times New Roman"/>
          <w:i/>
          <w:iCs/>
          <w:sz w:val="20"/>
          <w:szCs w:val="20"/>
        </w:rPr>
        <w:t xml:space="preserve"> </w:t>
      </w:r>
      <w:r>
        <w:rPr>
          <w:rFonts w:eastAsia="Times New Roman"/>
          <w:i/>
          <w:iCs/>
          <w:sz w:val="20"/>
          <w:szCs w:val="20"/>
        </w:rPr>
        <w:t>at</w:t>
      </w:r>
      <w:r>
        <w:rPr>
          <w:rFonts w:hint="eastAsia" w:eastAsia="Times New Roman"/>
          <w:i/>
          <w:iCs/>
          <w:sz w:val="20"/>
          <w:szCs w:val="20"/>
        </w:rPr>
        <w:t xml:space="preserve"> base station </w:t>
      </w:r>
      <w:r>
        <w:rPr>
          <w:rFonts w:eastAsia="Times New Roman"/>
          <w:i/>
          <w:iCs/>
          <w:sz w:val="20"/>
          <w:szCs w:val="20"/>
        </w:rPr>
        <w:t xml:space="preserve">should be considered for specification enhancements on beam management. </w:t>
      </w:r>
    </w:p>
    <w:p>
      <w:pPr>
        <w:spacing w:before="72" w:beforeLines="30" w:after="72" w:afterLines="30" w:line="288" w:lineRule="auto"/>
        <w:jc w:val="both"/>
        <w:rPr>
          <w:rFonts w:eastAsia="微软雅黑"/>
          <w:iCs/>
          <w:sz w:val="20"/>
          <w:szCs w:val="20"/>
        </w:rPr>
      </w:pPr>
      <w:r>
        <w:rPr>
          <w:rFonts w:hint="eastAsia" w:eastAsia="Times New Roman"/>
          <w:b/>
          <w:bCs/>
          <w:i/>
          <w:iCs/>
          <w:sz w:val="20"/>
          <w:szCs w:val="20"/>
        </w:rPr>
        <w:t xml:space="preserve">Proposal </w:t>
      </w:r>
      <w:r>
        <w:rPr>
          <w:rFonts w:hint="eastAsia"/>
          <w:b/>
          <w:bCs/>
          <w:i/>
          <w:iCs/>
          <w:sz w:val="20"/>
          <w:szCs w:val="20"/>
        </w:rPr>
        <w:t>3</w:t>
      </w:r>
      <w:r>
        <w:rPr>
          <w:rFonts w:hint="eastAsia" w:eastAsia="Times New Roman"/>
          <w:b/>
          <w:bCs/>
          <w:i/>
          <w:iCs/>
          <w:sz w:val="20"/>
          <w:szCs w:val="20"/>
        </w:rPr>
        <w:t xml:space="preserve">: </w:t>
      </w:r>
      <w:r>
        <w:rPr>
          <w:rFonts w:eastAsia="Times New Roman"/>
          <w:i/>
          <w:iCs/>
          <w:sz w:val="20"/>
          <w:szCs w:val="20"/>
        </w:rPr>
        <w:t xml:space="preserve">Study potential enhancements on receive beam-related information to the base station reported by UE to assist gNB </w:t>
      </w:r>
      <w:r>
        <w:rPr>
          <w:rFonts w:hint="eastAsia" w:eastAsia="Times New Roman"/>
          <w:i/>
          <w:iCs/>
          <w:sz w:val="20"/>
          <w:szCs w:val="20"/>
        </w:rPr>
        <w:t xml:space="preserve">for </w:t>
      </w:r>
      <w:r>
        <w:rPr>
          <w:rFonts w:eastAsia="Times New Roman"/>
          <w:i/>
          <w:iCs/>
          <w:sz w:val="20"/>
          <w:szCs w:val="20"/>
        </w:rPr>
        <w:t xml:space="preserve">more accurate </w:t>
      </w:r>
      <w:r>
        <w:rPr>
          <w:rFonts w:hint="eastAsia" w:eastAsia="Times New Roman"/>
          <w:i/>
          <w:iCs/>
          <w:sz w:val="20"/>
          <w:szCs w:val="20"/>
        </w:rPr>
        <w:t>beam prediction</w:t>
      </w:r>
      <w:r>
        <w:rPr>
          <w:rFonts w:eastAsia="Times New Roman"/>
          <w:i/>
          <w:iCs/>
          <w:sz w:val="20"/>
          <w:szCs w:val="20"/>
        </w:rPr>
        <w:t xml:space="preserve"> and </w:t>
      </w:r>
      <w:r>
        <w:rPr>
          <w:rFonts w:hint="eastAsia" w:eastAsia="Times New Roman"/>
          <w:i/>
          <w:iCs/>
          <w:sz w:val="20"/>
          <w:szCs w:val="20"/>
        </w:rPr>
        <w:t xml:space="preserve">improved </w:t>
      </w:r>
      <w:r>
        <w:rPr>
          <w:rFonts w:eastAsia="Times New Roman"/>
          <w:i/>
          <w:iCs/>
          <w:sz w:val="20"/>
          <w:szCs w:val="20"/>
        </w:rPr>
        <w:t>generalization</w:t>
      </w:r>
      <w:r>
        <w:rPr>
          <w:rFonts w:hint="eastAsia" w:eastAsia="Times New Roman"/>
          <w:i/>
          <w:iCs/>
          <w:sz w:val="20"/>
          <w:szCs w:val="20"/>
        </w:rPr>
        <w:t xml:space="preserve"> </w:t>
      </w:r>
      <w:r>
        <w:rPr>
          <w:rFonts w:eastAsia="Times New Roman"/>
          <w:i/>
          <w:iCs/>
          <w:sz w:val="20"/>
          <w:szCs w:val="20"/>
        </w:rPr>
        <w:t>of the trained AI/ML model.</w:t>
      </w:r>
    </w:p>
    <w:p>
      <w:pPr>
        <w:spacing w:before="72" w:beforeLines="30" w:after="72" w:afterLines="30" w:line="288" w:lineRule="auto"/>
        <w:jc w:val="both"/>
        <w:rPr>
          <w:rFonts w:eastAsia="微软雅黑"/>
          <w:iCs/>
          <w:sz w:val="20"/>
          <w:szCs w:val="20"/>
        </w:rPr>
      </w:pPr>
      <w:r>
        <w:rPr>
          <w:rFonts w:hint="eastAsia" w:eastAsia="Times New Roman"/>
          <w:b/>
          <w:bCs/>
          <w:i/>
          <w:iCs/>
          <w:sz w:val="20"/>
          <w:szCs w:val="20"/>
        </w:rPr>
        <w:t xml:space="preserve">Proposal </w:t>
      </w:r>
      <w:r>
        <w:rPr>
          <w:rFonts w:hint="eastAsia"/>
          <w:b/>
          <w:bCs/>
          <w:i/>
          <w:iCs/>
          <w:sz w:val="20"/>
          <w:szCs w:val="20"/>
        </w:rPr>
        <w:t>4</w:t>
      </w:r>
      <w:r>
        <w:rPr>
          <w:rFonts w:hint="eastAsia" w:eastAsia="Times New Roman"/>
          <w:b/>
          <w:bCs/>
          <w:i/>
          <w:iCs/>
          <w:sz w:val="20"/>
          <w:szCs w:val="20"/>
        </w:rPr>
        <w:t xml:space="preserve">: </w:t>
      </w:r>
      <w:r>
        <w:rPr>
          <w:rFonts w:eastAsia="Times New Roman"/>
          <w:i/>
          <w:iCs/>
          <w:sz w:val="20"/>
          <w:szCs w:val="20"/>
        </w:rPr>
        <w:t>Study potential enhancements to support more flexible beam measurement and reporting, in order to adapt to different AI/ML based beam prediction.</w:t>
      </w:r>
    </w:p>
    <w:p>
      <w:pPr>
        <w:spacing w:before="72" w:beforeLines="30" w:after="72" w:afterLines="30" w:line="288" w:lineRule="auto"/>
        <w:jc w:val="both"/>
        <w:rPr>
          <w:rFonts w:eastAsia="Times New Roman"/>
          <w:b/>
          <w:bCs/>
          <w:i/>
          <w:iCs/>
          <w:sz w:val="20"/>
          <w:szCs w:val="20"/>
        </w:rPr>
      </w:pPr>
      <w:r>
        <w:rPr>
          <w:rFonts w:hint="eastAsia"/>
          <w:b/>
          <w:bCs/>
          <w:i/>
          <w:iCs/>
          <w:sz w:val="20"/>
          <w:szCs w:val="20"/>
        </w:rPr>
        <w:t>Proposal 5:</w:t>
      </w:r>
      <w:r>
        <w:rPr>
          <w:rFonts w:hint="eastAsia"/>
          <w:i/>
          <w:iCs/>
          <w:sz w:val="20"/>
          <w:szCs w:val="20"/>
        </w:rPr>
        <w:t xml:space="preserve"> Consider predictable mobility for beam management as an enhancement aspect for improving UE experience in FR2 high mobility scenario (e.g., high-speed train and high-way) in Rel-18 AI-PHY, which at least includes beam-management-related enhancements for predictable mobility, involving beam measurement, beam report and beam indication.</w:t>
      </w:r>
    </w:p>
    <w:p>
      <w:pPr>
        <w:numPr>
          <w:ilvl w:val="0"/>
          <w:numId w:val="5"/>
        </w:numPr>
        <w:tabs>
          <w:tab w:val="clear" w:pos="432"/>
        </w:tabs>
        <w:snapToGrid w:val="0"/>
        <w:spacing w:before="120" w:beforeLines="50" w:after="120" w:afterLines="50" w:line="288" w:lineRule="auto"/>
        <w:ind w:left="425" w:hanging="425"/>
        <w:jc w:val="both"/>
        <w:outlineLvl w:val="0"/>
        <w:rPr>
          <w:b/>
          <w:sz w:val="28"/>
          <w:szCs w:val="28"/>
        </w:rPr>
      </w:pPr>
      <w:r>
        <w:rPr>
          <w:rFonts w:hint="eastAsia"/>
          <w:b/>
          <w:sz w:val="28"/>
          <w:szCs w:val="28"/>
        </w:rPr>
        <w:t>References</w:t>
      </w:r>
    </w:p>
    <w:p>
      <w:pPr>
        <w:pStyle w:val="73"/>
        <w:numPr>
          <w:ilvl w:val="0"/>
          <w:numId w:val="10"/>
        </w:numPr>
        <w:snapToGrid w:val="0"/>
        <w:jc w:val="both"/>
        <w:rPr>
          <w:bCs/>
          <w:sz w:val="20"/>
          <w:szCs w:val="20"/>
        </w:rPr>
      </w:pPr>
      <w:r>
        <w:rPr>
          <w:bCs/>
          <w:sz w:val="20"/>
          <w:szCs w:val="20"/>
        </w:rPr>
        <w:t xml:space="preserve">RP-213599, New </w:t>
      </w:r>
      <w:r>
        <w:rPr>
          <w:rFonts w:hint="eastAsia"/>
          <w:bCs/>
          <w:sz w:val="20"/>
          <w:szCs w:val="20"/>
        </w:rPr>
        <w:t>S</w:t>
      </w:r>
      <w:r>
        <w:rPr>
          <w:bCs/>
          <w:sz w:val="20"/>
          <w:szCs w:val="20"/>
        </w:rPr>
        <w:t>ID: Study on Artificial Intelligence (AI)/Machine Learning (ML) for NR Air Interface, Qualcomm</w:t>
      </w:r>
      <w:r>
        <w:rPr>
          <w:rFonts w:hint="eastAsia"/>
          <w:bCs/>
          <w:sz w:val="20"/>
          <w:szCs w:val="20"/>
        </w:rPr>
        <w:t>.</w:t>
      </w:r>
    </w:p>
    <w:p>
      <w:pPr>
        <w:pStyle w:val="73"/>
        <w:numPr>
          <w:ilvl w:val="0"/>
          <w:numId w:val="10"/>
        </w:numPr>
        <w:snapToGrid w:val="0"/>
        <w:jc w:val="both"/>
        <w:rPr>
          <w:bCs/>
          <w:sz w:val="20"/>
          <w:szCs w:val="20"/>
        </w:rPr>
      </w:pPr>
      <w:r>
        <w:rPr>
          <w:rFonts w:hint="eastAsia"/>
          <w:bCs/>
          <w:sz w:val="20"/>
          <w:szCs w:val="20"/>
        </w:rPr>
        <w:t xml:space="preserve">  R1-2203250, Evaluation assumptions on AI/ML for beam management, ZTE Corporation</w:t>
      </w:r>
    </w:p>
    <w:p>
      <w:pPr>
        <w:pStyle w:val="73"/>
        <w:snapToGrid w:val="0"/>
        <w:rPr>
          <w:bCs/>
          <w:sz w:val="20"/>
          <w:szCs w:val="20"/>
        </w:rPr>
      </w:pPr>
    </w:p>
    <w:p>
      <w:pPr>
        <w:pStyle w:val="73"/>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72DC9"/>
    <w:multiLevelType w:val="singleLevel"/>
    <w:tmpl w:val="A4E72DC9"/>
    <w:lvl w:ilvl="0" w:tentative="0">
      <w:start w:val="1"/>
      <w:numFmt w:val="decimal"/>
      <w:suff w:val="space"/>
      <w:lvlText w:val="[%1]"/>
      <w:lvlJc w:val="left"/>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3C61AC8D"/>
    <w:multiLevelType w:val="singleLevel"/>
    <w:tmpl w:val="3C61AC8D"/>
    <w:lvl w:ilvl="0" w:tentative="0">
      <w:start w:val="1"/>
      <w:numFmt w:val="decimal"/>
      <w:lvlText w:val="%1)"/>
      <w:lvlJc w:val="left"/>
      <w:pPr>
        <w:ind w:left="425" w:hanging="425"/>
      </w:pPr>
      <w:rPr>
        <w:rFonts w:hint="default"/>
      </w:rPr>
    </w:lvl>
  </w:abstractNum>
  <w:abstractNum w:abstractNumId="6">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DA05F44"/>
    <w:multiLevelType w:val="singleLevel"/>
    <w:tmpl w:val="5DA05F44"/>
    <w:lvl w:ilvl="0" w:tentative="0">
      <w:start w:val="1"/>
      <w:numFmt w:val="decimal"/>
      <w:lvlText w:val="%1)"/>
      <w:lvlJc w:val="left"/>
      <w:pPr>
        <w:ind w:left="425" w:hanging="425"/>
      </w:pPr>
      <w:rPr>
        <w:rFonts w:hint="default"/>
      </w:rPr>
    </w:lvl>
  </w:abstractNum>
  <w:abstractNum w:abstractNumId="8">
    <w:nsid w:val="5FCD745D"/>
    <w:multiLevelType w:val="multilevel"/>
    <w:tmpl w:val="5FCD745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9"/>
  </w:num>
  <w:num w:numId="4">
    <w:abstractNumId w:val="3"/>
  </w:num>
  <w:num w:numId="5">
    <w:abstractNumId w:val="4"/>
  </w:num>
  <w:num w:numId="6">
    <w:abstractNumId w:val="6"/>
  </w:num>
  <w:num w:numId="7">
    <w:abstractNumId w:val="8"/>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B701AA"/>
    <w:rsid w:val="1CCA0F66"/>
    <w:rsid w:val="1CDE446D"/>
    <w:rsid w:val="1CE20210"/>
    <w:rsid w:val="1D3074C2"/>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F3292"/>
    <w:rsid w:val="2229623B"/>
    <w:rsid w:val="22477192"/>
    <w:rsid w:val="224C2951"/>
    <w:rsid w:val="225C6779"/>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862FAB"/>
    <w:rsid w:val="278F67DD"/>
    <w:rsid w:val="27903F65"/>
    <w:rsid w:val="27B778B7"/>
    <w:rsid w:val="27CE4805"/>
    <w:rsid w:val="27DC01C9"/>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A0241CA"/>
    <w:rsid w:val="2A0777DB"/>
    <w:rsid w:val="2A1E7E82"/>
    <w:rsid w:val="2A7D5C08"/>
    <w:rsid w:val="2A81626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372A26"/>
    <w:rsid w:val="2C4628DA"/>
    <w:rsid w:val="2C622710"/>
    <w:rsid w:val="2C7A1A31"/>
    <w:rsid w:val="2C7C7D79"/>
    <w:rsid w:val="2C9466E2"/>
    <w:rsid w:val="2CAF6B04"/>
    <w:rsid w:val="2CB0279E"/>
    <w:rsid w:val="2CD12AE5"/>
    <w:rsid w:val="2D3A323B"/>
    <w:rsid w:val="2D4B55E5"/>
    <w:rsid w:val="2D53589F"/>
    <w:rsid w:val="2D7646A7"/>
    <w:rsid w:val="2DB057E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740D"/>
    <w:rsid w:val="3F2F6BD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CD671B"/>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9D023F"/>
    <w:rsid w:val="44A427AA"/>
    <w:rsid w:val="44DD300E"/>
    <w:rsid w:val="44E2656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4C141C"/>
    <w:rsid w:val="4987544D"/>
    <w:rsid w:val="49AE3D92"/>
    <w:rsid w:val="49C55CAD"/>
    <w:rsid w:val="49CA225D"/>
    <w:rsid w:val="4A1203E3"/>
    <w:rsid w:val="4A3C31F7"/>
    <w:rsid w:val="4A775569"/>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9C02EA"/>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C70992"/>
    <w:rsid w:val="4FE24AA2"/>
    <w:rsid w:val="50437224"/>
    <w:rsid w:val="50490678"/>
    <w:rsid w:val="505A512C"/>
    <w:rsid w:val="5098572F"/>
    <w:rsid w:val="50F018D3"/>
    <w:rsid w:val="50F47A17"/>
    <w:rsid w:val="513D38A6"/>
    <w:rsid w:val="51456AF4"/>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D15C5"/>
    <w:rsid w:val="52F63B4F"/>
    <w:rsid w:val="53082F2C"/>
    <w:rsid w:val="53131C59"/>
    <w:rsid w:val="53345BA9"/>
    <w:rsid w:val="53396085"/>
    <w:rsid w:val="53670639"/>
    <w:rsid w:val="53826F0F"/>
    <w:rsid w:val="53B84C8E"/>
    <w:rsid w:val="53BA78BF"/>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2826A1"/>
    <w:rsid w:val="6A4F016E"/>
    <w:rsid w:val="6A551347"/>
    <w:rsid w:val="6A5660EE"/>
    <w:rsid w:val="6A5D1911"/>
    <w:rsid w:val="6A76653B"/>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5F4062"/>
    <w:rsid w:val="74963A01"/>
    <w:rsid w:val="74DF558B"/>
    <w:rsid w:val="74EE1D1B"/>
    <w:rsid w:val="74F826B3"/>
    <w:rsid w:val="74F9578E"/>
    <w:rsid w:val="75067D82"/>
    <w:rsid w:val="75152359"/>
    <w:rsid w:val="7523445E"/>
    <w:rsid w:val="752955C7"/>
    <w:rsid w:val="75473AB6"/>
    <w:rsid w:val="75583501"/>
    <w:rsid w:val="755A639D"/>
    <w:rsid w:val="75612341"/>
    <w:rsid w:val="75882465"/>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 w:val="20"/>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页眉 Char"/>
    <w:link w:val="18"/>
    <w:qFormat/>
    <w:uiPriority w:val="0"/>
    <w:rPr>
      <w:rFonts w:ascii="Arial" w:hAnsi="Arial" w:eastAsia="MS Mincho"/>
      <w:b/>
      <w:szCs w:val="24"/>
      <w:lang w:eastAsia="en-US"/>
    </w:rPr>
  </w:style>
  <w:style w:type="character" w:customStyle="1" w:styleId="35">
    <w:name w:val="批注主题 Char"/>
    <w:link w:val="22"/>
    <w:semiHidden/>
    <w:qFormat/>
    <w:uiPriority w:val="99"/>
    <w:rPr>
      <w:b/>
      <w:bCs/>
    </w:rPr>
  </w:style>
  <w:style w:type="character" w:customStyle="1" w:styleId="36">
    <w:name w:val="脚注文本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 w:val="20"/>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题注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 w:val="20"/>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8">
    <w:name w:val="批注文字 Char"/>
    <w:basedOn w:val="26"/>
    <w:link w:val="14"/>
    <w:qFormat/>
    <w:uiPriority w:val="0"/>
  </w:style>
  <w:style w:type="character" w:customStyle="1" w:styleId="49">
    <w:name w:val="正文文本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批注框文本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15904-2A11-4612-8272-D3DF690DE17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6</Pages>
  <Words>2452</Words>
  <Characters>13979</Characters>
  <Lines>116</Lines>
  <Paragraphs>32</Paragraphs>
  <TotalTime>0</TotalTime>
  <ScaleCrop>false</ScaleCrop>
  <LinksUpToDate>false</LinksUpToDate>
  <CharactersWithSpaces>16399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2022-04-29T17:43:00Z</dcterms:created>
  <dc:creator>ZTE</dc:creator>
  <cp:lastModifiedBy>ZTE</cp:lastModifiedBy>
  <dcterms:modified xsi:type="dcterms:W3CDTF">2022-04-29T18:27:11Z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